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72" w:rsidRPr="00367607" w:rsidRDefault="00021672" w:rsidP="00021672">
      <w:pPr>
        <w:ind w:right="-1272" w:firstLine="720"/>
        <w:jc w:val="both"/>
        <w:rPr>
          <w:rFonts w:ascii="Times New Roman" w:eastAsia="SimSun" w:hAnsi="Times New Roman"/>
          <w:b/>
          <w:szCs w:val="26"/>
        </w:rPr>
      </w:pPr>
      <w:r>
        <w:rPr>
          <w:rFonts w:ascii="Times New Roman" w:eastAsia="SimSun" w:hAnsi="Times New Roman"/>
          <w:b/>
          <w:noProof/>
          <w:szCs w:val="26"/>
        </w:rPr>
        <w:drawing>
          <wp:anchor distT="0" distB="0" distL="114300" distR="114300" simplePos="0" relativeHeight="251661312" behindDoc="0" locked="0" layoutInCell="1" allowOverlap="1" wp14:anchorId="0EFAA95B" wp14:editId="413FC02E">
            <wp:simplePos x="0" y="0"/>
            <wp:positionH relativeFrom="column">
              <wp:align>left</wp:align>
            </wp:positionH>
            <wp:positionV relativeFrom="paragraph">
              <wp:align>top</wp:align>
            </wp:positionV>
            <wp:extent cx="1162050" cy="819150"/>
            <wp:effectExtent l="0" t="0" r="0" b="0"/>
            <wp:wrapSquare wrapText="bothSides"/>
            <wp:docPr id="1" name="Picture 1" descr="C:\Users\Administrator\Downloads\Logo-01 (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Logo-01 (2) (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931" cy="8211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SimSun" w:hAnsi="Times New Roman"/>
          <w:b/>
          <w:szCs w:val="26"/>
        </w:rPr>
        <w:t xml:space="preserve">       </w:t>
      </w:r>
      <w:r w:rsidRPr="00367607">
        <w:rPr>
          <w:rFonts w:ascii="Times New Roman" w:eastAsia="SimSun" w:hAnsi="Times New Roman"/>
          <w:b/>
          <w:szCs w:val="26"/>
        </w:rPr>
        <w:t xml:space="preserve">    </w:t>
      </w:r>
      <w:r>
        <w:rPr>
          <w:rFonts w:ascii="Times New Roman" w:eastAsia="SimSun" w:hAnsi="Times New Roman"/>
          <w:b/>
          <w:szCs w:val="26"/>
        </w:rPr>
        <w:t xml:space="preserve">           </w:t>
      </w:r>
      <w:r w:rsidRPr="00367607">
        <w:rPr>
          <w:rFonts w:ascii="Times New Roman" w:eastAsia="SimSun" w:hAnsi="Times New Roman"/>
          <w:b/>
          <w:szCs w:val="26"/>
        </w:rPr>
        <w:t xml:space="preserve">  </w:t>
      </w:r>
      <w:r>
        <w:rPr>
          <w:rFonts w:ascii="Times New Roman" w:eastAsia="SimSun" w:hAnsi="Times New Roman"/>
          <w:b/>
          <w:szCs w:val="26"/>
        </w:rPr>
        <w:t xml:space="preserve">          </w:t>
      </w:r>
      <w:r w:rsidRPr="00367607">
        <w:rPr>
          <w:rFonts w:ascii="Times New Roman" w:eastAsia="SimSun" w:hAnsi="Times New Roman"/>
          <w:b/>
          <w:szCs w:val="26"/>
        </w:rPr>
        <w:t xml:space="preserve">  </w:t>
      </w:r>
      <w:r>
        <w:rPr>
          <w:rFonts w:ascii="Times New Roman" w:eastAsia="SimSun" w:hAnsi="Times New Roman"/>
          <w:b/>
          <w:noProof/>
          <w:szCs w:val="26"/>
        </w:rPr>
        <w:drawing>
          <wp:inline distT="0" distB="0" distL="0" distR="0" wp14:anchorId="45BC806C" wp14:editId="6B9795A9">
            <wp:extent cx="3586038" cy="770590"/>
            <wp:effectExtent l="19050" t="0" r="0" b="0"/>
            <wp:docPr id="4" name="Picture 2" descr="C:\Users\Admin\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age001.jpg"/>
                    <pic:cNvPicPr>
                      <a:picLocks noChangeAspect="1" noChangeArrowheads="1"/>
                    </pic:cNvPicPr>
                  </pic:nvPicPr>
                  <pic:blipFill>
                    <a:blip r:embed="rId9"/>
                    <a:srcRect/>
                    <a:stretch>
                      <a:fillRect/>
                    </a:stretch>
                  </pic:blipFill>
                  <pic:spPr bwMode="auto">
                    <a:xfrm>
                      <a:off x="0" y="0"/>
                      <a:ext cx="3588135" cy="771041"/>
                    </a:xfrm>
                    <a:prstGeom prst="rect">
                      <a:avLst/>
                    </a:prstGeom>
                    <a:noFill/>
                    <a:ln w="9525">
                      <a:noFill/>
                      <a:miter lim="800000"/>
                      <a:headEnd/>
                      <a:tailEnd/>
                    </a:ln>
                  </pic:spPr>
                </pic:pic>
              </a:graphicData>
            </a:graphic>
          </wp:inline>
        </w:drawing>
      </w:r>
      <w:r w:rsidRPr="00367607">
        <w:rPr>
          <w:rFonts w:ascii="Times New Roman" w:eastAsia="SimSun" w:hAnsi="Times New Roman"/>
          <w:b/>
          <w:szCs w:val="26"/>
        </w:rPr>
        <w:t xml:space="preserve">                                                       </w:t>
      </w:r>
      <w:r w:rsidRPr="00367607">
        <w:rPr>
          <w:rFonts w:ascii="Times New Roman" w:eastAsia="SimSun" w:hAnsi="Times New Roman"/>
          <w:b/>
          <w:noProof/>
          <w:szCs w:val="26"/>
        </w:rPr>
        <w:t xml:space="preserve"> </w:t>
      </w:r>
      <w:r w:rsidRPr="00367607">
        <w:rPr>
          <w:rFonts w:ascii="Times New Roman" w:eastAsia="SimSun" w:hAnsi="Times New Roman"/>
          <w:b/>
          <w:szCs w:val="26"/>
        </w:rPr>
        <w:t xml:space="preserve">                                                                                                                           </w:t>
      </w:r>
    </w:p>
    <w:p w:rsidR="00B8311B" w:rsidRDefault="00B8311B" w:rsidP="00B8311B">
      <w:pPr>
        <w:spacing w:after="0" w:line="240" w:lineRule="auto"/>
        <w:jc w:val="center"/>
        <w:rPr>
          <w:rFonts w:ascii="Cambria" w:eastAsia="MS Mincho" w:hAnsi="Cambria" w:cs="Times New Roman"/>
          <w:b/>
          <w:bCs/>
          <w:sz w:val="28"/>
          <w:szCs w:val="28"/>
        </w:rPr>
      </w:pPr>
    </w:p>
    <w:p w:rsidR="00B8311B" w:rsidRPr="0000045E" w:rsidRDefault="00B8311B" w:rsidP="00B8311B">
      <w:pPr>
        <w:spacing w:after="0" w:line="240" w:lineRule="auto"/>
        <w:jc w:val="center"/>
        <w:rPr>
          <w:rFonts w:ascii="Times New Roman" w:eastAsia="MS Mincho" w:hAnsi="Times New Roman" w:cs="Times New Roman"/>
          <w:b/>
          <w:bCs/>
          <w:sz w:val="28"/>
          <w:szCs w:val="28"/>
        </w:rPr>
      </w:pPr>
      <w:r w:rsidRPr="0000045E">
        <w:rPr>
          <w:rFonts w:ascii="Times New Roman" w:eastAsia="MS Mincho" w:hAnsi="Times New Roman" w:cs="Times New Roman"/>
          <w:b/>
          <w:bCs/>
          <w:sz w:val="28"/>
          <w:szCs w:val="28"/>
        </w:rPr>
        <w:t xml:space="preserve">Tái cơ cấu kinh tế nâng cao năng lực cạnh tranh Việt Nam: </w:t>
      </w:r>
    </w:p>
    <w:p w:rsidR="00B8311B" w:rsidRPr="0000045E" w:rsidRDefault="00B8311B" w:rsidP="00B8311B">
      <w:pPr>
        <w:spacing w:after="0" w:line="240" w:lineRule="auto"/>
        <w:jc w:val="center"/>
        <w:rPr>
          <w:rFonts w:ascii="Times New Roman" w:eastAsia="MS Mincho" w:hAnsi="Times New Roman" w:cs="Times New Roman"/>
          <w:b/>
          <w:bCs/>
          <w:sz w:val="28"/>
          <w:szCs w:val="28"/>
        </w:rPr>
      </w:pPr>
      <w:r w:rsidRPr="0000045E">
        <w:rPr>
          <w:rFonts w:ascii="Times New Roman" w:eastAsia="MS Mincho" w:hAnsi="Times New Roman" w:cs="Times New Roman"/>
          <w:b/>
          <w:bCs/>
          <w:sz w:val="28"/>
          <w:szCs w:val="28"/>
        </w:rPr>
        <w:t xml:space="preserve">bối cảnh Dự </w:t>
      </w:r>
      <w:bookmarkStart w:id="0" w:name="_GoBack"/>
      <w:bookmarkEnd w:id="0"/>
      <w:r w:rsidRPr="0000045E">
        <w:rPr>
          <w:rFonts w:ascii="Times New Roman" w:eastAsia="MS Mincho" w:hAnsi="Times New Roman" w:cs="Times New Roman"/>
          <w:b/>
          <w:bCs/>
          <w:sz w:val="28"/>
          <w:szCs w:val="28"/>
        </w:rPr>
        <w:t xml:space="preserve">án </w:t>
      </w:r>
    </w:p>
    <w:p w:rsidR="00B8311B" w:rsidRPr="0000045E" w:rsidRDefault="00B8311B" w:rsidP="00B8311B">
      <w:pPr>
        <w:spacing w:after="0" w:line="240" w:lineRule="auto"/>
        <w:jc w:val="center"/>
        <w:rPr>
          <w:rFonts w:ascii="Times New Roman" w:eastAsia="MS Mincho" w:hAnsi="Times New Roman" w:cs="Times New Roman"/>
          <w:bCs/>
          <w:i/>
          <w:sz w:val="28"/>
          <w:szCs w:val="28"/>
        </w:rPr>
      </w:pPr>
      <w:r w:rsidRPr="0000045E">
        <w:rPr>
          <w:rFonts w:ascii="Times New Roman" w:eastAsia="MS Mincho" w:hAnsi="Times New Roman" w:cs="Times New Roman"/>
          <w:bCs/>
          <w:i/>
          <w:sz w:val="28"/>
          <w:szCs w:val="28"/>
        </w:rPr>
        <w:t>Raymond Mallon, Cố vấn cấp cao, RCV</w:t>
      </w:r>
    </w:p>
    <w:p w:rsidR="00B8311B" w:rsidRPr="0000045E" w:rsidRDefault="00B8311B" w:rsidP="00B8311B">
      <w:pPr>
        <w:spacing w:after="0" w:line="240" w:lineRule="auto"/>
        <w:ind w:left="4320" w:firstLine="720"/>
        <w:jc w:val="center"/>
        <w:rPr>
          <w:rFonts w:ascii="Times New Roman" w:eastAsia="MS Mincho" w:hAnsi="Times New Roman" w:cs="Times New Roman"/>
          <w:bCs/>
          <w:i/>
          <w:sz w:val="28"/>
          <w:szCs w:val="28"/>
        </w:rPr>
      </w:pPr>
    </w:p>
    <w:p w:rsidR="00B8311B" w:rsidRPr="0000045E" w:rsidRDefault="00B8311B" w:rsidP="00B8311B">
      <w:pPr>
        <w:spacing w:after="0" w:line="240" w:lineRule="auto"/>
        <w:ind w:left="4320" w:firstLine="720"/>
        <w:jc w:val="center"/>
        <w:rPr>
          <w:rFonts w:ascii="Times New Roman" w:eastAsia="MS Mincho" w:hAnsi="Times New Roman" w:cs="Times New Roman"/>
          <w:bCs/>
          <w:i/>
          <w:sz w:val="28"/>
          <w:szCs w:val="28"/>
        </w:rPr>
      </w:pPr>
      <w:r w:rsidRPr="0000045E">
        <w:rPr>
          <w:rFonts w:ascii="Times New Roman" w:eastAsia="MS Mincho" w:hAnsi="Times New Roman" w:cs="Times New Roman"/>
          <w:bCs/>
          <w:i/>
          <w:sz w:val="28"/>
          <w:szCs w:val="28"/>
        </w:rPr>
        <w:t>11 Tháng 8 năm 2014</w:t>
      </w: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b/>
          <w:sz w:val="28"/>
          <w:szCs w:val="28"/>
        </w:rPr>
      </w:pPr>
      <w:r w:rsidRPr="0000045E">
        <w:rPr>
          <w:rFonts w:ascii="Times New Roman" w:eastAsia="MS Mincho" w:hAnsi="Times New Roman" w:cs="Times New Roman"/>
          <w:b/>
          <w:sz w:val="28"/>
          <w:szCs w:val="28"/>
        </w:rPr>
        <w:t xml:space="preserve">0. </w:t>
      </w:r>
      <w:r w:rsidRPr="0000045E">
        <w:rPr>
          <w:rFonts w:ascii="Times New Roman" w:eastAsia="MS Mincho" w:hAnsi="Times New Roman" w:cs="Times New Roman"/>
          <w:b/>
          <w:sz w:val="28"/>
          <w:szCs w:val="28"/>
        </w:rPr>
        <w:tab/>
        <w:t xml:space="preserve">Giới thiệu </w:t>
      </w:r>
    </w:p>
    <w:p w:rsidR="00B8311B" w:rsidRPr="0000045E" w:rsidRDefault="00B8311B" w:rsidP="00B8311B">
      <w:pPr>
        <w:spacing w:after="0" w:line="240" w:lineRule="auto"/>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 xml:space="preserve">Tôi xin cám ơn đã có cơ hội để giới thiệu bối cảnh của Dự án </w:t>
      </w:r>
      <w:r w:rsidRPr="0000045E">
        <w:rPr>
          <w:rFonts w:ascii="Times New Roman" w:eastAsia="MS Mincho" w:hAnsi="Times New Roman" w:cs="Times New Roman"/>
          <w:bCs/>
          <w:sz w:val="28"/>
          <w:szCs w:val="28"/>
        </w:rPr>
        <w:t>Tái cơ cấu kinh tế nâng cao năng lực cạnh tranh Việt Nam</w:t>
      </w:r>
      <w:r w:rsidRPr="0000045E">
        <w:rPr>
          <w:rFonts w:ascii="Times New Roman" w:eastAsia="MS Mincho" w:hAnsi="Times New Roman" w:cs="Times New Roman"/>
          <w:sz w:val="28"/>
          <w:szCs w:val="28"/>
        </w:rPr>
        <w:t xml:space="preserve">. Đây là sáng kiến do quốc gia làm chủ nhằm giải quyết các vấn đề trọng yếu đối với sự phát triển kinh tế xã hội của Việt Nam. Ôxtraylia may mắn đã có cơ hội để hợp tác với các cơ quan quan trọng của Việt Nam về các vấn đề này. </w:t>
      </w: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sz w:val="28"/>
          <w:szCs w:val="28"/>
        </w:rPr>
      </w:pPr>
      <w:r w:rsidRPr="0000045E">
        <w:rPr>
          <w:rFonts w:ascii="Times New Roman" w:eastAsia="MS Mincho" w:hAnsi="Times New Roman" w:cs="Times New Roman"/>
          <w:sz w:val="28"/>
          <w:szCs w:val="28"/>
        </w:rPr>
        <w:t xml:space="preserve">Trong bài trình bày này tôi sẽ khái quát:  </w:t>
      </w:r>
    </w:p>
    <w:p w:rsidR="00B8311B" w:rsidRPr="0000045E" w:rsidRDefault="00B8311B" w:rsidP="00B8311B">
      <w:pPr>
        <w:numPr>
          <w:ilvl w:val="0"/>
          <w:numId w:val="7"/>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 xml:space="preserve">Một số các nhân tố chính tạo ra những thành công về phát triển kinh tế gần đây của Việt Nam </w:t>
      </w:r>
    </w:p>
    <w:p w:rsidR="00B8311B" w:rsidRPr="0000045E" w:rsidRDefault="00B8311B" w:rsidP="00B8311B">
      <w:pPr>
        <w:numPr>
          <w:ilvl w:val="0"/>
          <w:numId w:val="7"/>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 xml:space="preserve">Thảo luận việc tăng trưởng năng suất bị chậm lại và các hàm ý </w:t>
      </w:r>
    </w:p>
    <w:p w:rsidR="00B8311B" w:rsidRPr="0000045E" w:rsidRDefault="00B8311B" w:rsidP="00B8311B">
      <w:pPr>
        <w:numPr>
          <w:ilvl w:val="0"/>
          <w:numId w:val="7"/>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Phác thảo cách thức tiếp cận của Dự án RCV trong việc hỗ trợ các nỗ lực nhằm giải quyết các rào cản đối với tăng trưởng năng suất.</w:t>
      </w:r>
    </w:p>
    <w:p w:rsidR="00B8311B" w:rsidRPr="0000045E" w:rsidRDefault="00B8311B" w:rsidP="00B8311B">
      <w:pPr>
        <w:spacing w:after="0" w:line="240" w:lineRule="auto"/>
        <w:jc w:val="both"/>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b/>
          <w:sz w:val="28"/>
          <w:szCs w:val="28"/>
        </w:rPr>
      </w:pPr>
      <w:r w:rsidRPr="0000045E">
        <w:rPr>
          <w:rFonts w:ascii="Times New Roman" w:eastAsia="MS Mincho" w:hAnsi="Times New Roman" w:cs="Times New Roman"/>
          <w:b/>
          <w:sz w:val="28"/>
          <w:szCs w:val="28"/>
        </w:rPr>
        <w:t xml:space="preserve">1. </w:t>
      </w:r>
      <w:r w:rsidRPr="0000045E">
        <w:rPr>
          <w:rFonts w:ascii="Times New Roman" w:eastAsia="MS Mincho" w:hAnsi="Times New Roman" w:cs="Times New Roman"/>
          <w:b/>
          <w:sz w:val="28"/>
          <w:szCs w:val="28"/>
        </w:rPr>
        <w:tab/>
        <w:t>Các lý do Việt Nam đã đạt được một số thành công về kinh tế</w:t>
      </w:r>
    </w:p>
    <w:p w:rsidR="00B8311B" w:rsidRPr="0000045E" w:rsidRDefault="00B8311B" w:rsidP="00B8311B">
      <w:pPr>
        <w:spacing w:after="0" w:line="240" w:lineRule="auto"/>
        <w:rPr>
          <w:rFonts w:ascii="Times New Roman" w:eastAsia="MS Mincho" w:hAnsi="Times New Roman" w:cs="Times New Roman"/>
          <w:b/>
          <w:sz w:val="28"/>
          <w:szCs w:val="28"/>
        </w:rPr>
      </w:pPr>
    </w:p>
    <w:p w:rsidR="00B8311B" w:rsidRPr="0000045E" w:rsidRDefault="00B8311B" w:rsidP="00B8311B">
      <w:pPr>
        <w:spacing w:after="0" w:line="240" w:lineRule="auto"/>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u w:val="single"/>
        </w:rPr>
        <w:t>Thứ nhất</w:t>
      </w:r>
      <w:r w:rsidRPr="0000045E">
        <w:rPr>
          <w:rFonts w:ascii="Times New Roman" w:eastAsia="MS Mincho" w:hAnsi="Times New Roman" w:cs="Times New Roman"/>
          <w:sz w:val="28"/>
          <w:szCs w:val="28"/>
        </w:rPr>
        <w:t>, tôi định nói gì về một số thành công tương đối về kinh tế?</w:t>
      </w:r>
    </w:p>
    <w:p w:rsidR="00B8311B" w:rsidRPr="0000045E" w:rsidRDefault="00B8311B" w:rsidP="00B8311B">
      <w:pPr>
        <w:numPr>
          <w:ilvl w:val="0"/>
          <w:numId w:val="9"/>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Từ năm 1990, sự thành công bền vững về kinh tế (tương đối toàn diện) của Việt  Nam) đã góp phần vào việc giảm tỷ lệ hộ nghèo với tốc độ nhanh hơn các nước khác</w:t>
      </w:r>
    </w:p>
    <w:p w:rsidR="00B8311B" w:rsidRPr="0000045E" w:rsidRDefault="00B8311B" w:rsidP="00B8311B">
      <w:pPr>
        <w:numPr>
          <w:ilvl w:val="0"/>
          <w:numId w:val="9"/>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Mức tăng trưởng việc làm rất mạnh mẽ và hầu hết thu nhập các hộ gia đình đã tăng đáng kể.</w:t>
      </w:r>
    </w:p>
    <w:p w:rsidR="00B8311B" w:rsidRPr="0000045E" w:rsidRDefault="00B8311B" w:rsidP="00B8311B">
      <w:pPr>
        <w:numPr>
          <w:ilvl w:val="0"/>
          <w:numId w:val="8"/>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Việt Nam đã hội nhập sâu vào nền kinh tế thế giới và có khả năng cạnh tranh trong nhiều lĩnh vực như nông sản, hàng may mặc, da giày, đồ nội thất, điện thoại di dộng và máy tính. Điều này giúp Việt Nam tiếp cận công nghệ, bí quyết kỹ thuật và các thị trường mới.</w:t>
      </w:r>
    </w:p>
    <w:p w:rsidR="00B8311B" w:rsidRPr="0000045E" w:rsidRDefault="00B8311B" w:rsidP="00B8311B">
      <w:pPr>
        <w:numPr>
          <w:ilvl w:val="0"/>
          <w:numId w:val="8"/>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 xml:space="preserve">Tăng trưởng sản phẩm kinh tế và thu nhập là khá công bằng và gắn với tiến bộ xã hội: Việt Nam được xếp hạng cao hơn theo Chỉ số phát triển nhân lực </w:t>
      </w:r>
      <w:r w:rsidRPr="0000045E">
        <w:rPr>
          <w:rFonts w:ascii="Times New Roman" w:eastAsia="MS Mincho" w:hAnsi="Times New Roman" w:cs="Times New Roman"/>
          <w:sz w:val="28"/>
          <w:szCs w:val="28"/>
        </w:rPr>
        <w:lastRenderedPageBreak/>
        <w:t>của Liên hiệp quốc so với hầu hết các nước có mức thu nhập bình quân đầu người tương tự.</w:t>
      </w:r>
    </w:p>
    <w:p w:rsidR="00B8311B" w:rsidRPr="0000045E" w:rsidRDefault="00B8311B" w:rsidP="00B8311B">
      <w:pPr>
        <w:spacing w:after="0" w:line="240" w:lineRule="auto"/>
        <w:jc w:val="both"/>
        <w:rPr>
          <w:rFonts w:ascii="Times New Roman" w:eastAsia="MS Mincho" w:hAnsi="Times New Roman" w:cs="Times New Roman"/>
          <w:sz w:val="28"/>
          <w:szCs w:val="28"/>
        </w:rPr>
      </w:pPr>
    </w:p>
    <w:p w:rsidR="00B8311B" w:rsidRPr="0000045E" w:rsidRDefault="00B8311B" w:rsidP="00B8311B">
      <w:pPr>
        <w:spacing w:after="0" w:line="240" w:lineRule="auto"/>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Thứ hai, một số nhân tố chính quyết định sự thành công này?</w:t>
      </w:r>
    </w:p>
    <w:p w:rsidR="00B8311B" w:rsidRPr="0000045E" w:rsidRDefault="00B8311B" w:rsidP="00B8311B">
      <w:pPr>
        <w:numPr>
          <w:ilvl w:val="0"/>
          <w:numId w:val="10"/>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Vào đầu giai đoạn đổi mới, hầu hết dân số đề có trình độ biết đọc, biết viết, điều đó cho phép họ tiếp cận các tư tưởng và công nghệ mới. Điều này thể hiện di sản các giá trị truyền thống  nhấn mạnh vào giáo dục và các mục tiêu của chủ nghĩa xã hội gần đây vì sự phát triển con người một cách công bằng.</w:t>
      </w:r>
    </w:p>
    <w:p w:rsidR="00B8311B" w:rsidRPr="0000045E" w:rsidRDefault="00B8311B" w:rsidP="00B8311B">
      <w:pPr>
        <w:numPr>
          <w:ilvl w:val="0"/>
          <w:numId w:val="10"/>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Các cải cách kinh tế ban đầu nhằm đảm bảo việc phân bổ tương đối công bằng quyền sử dụng đất đối với người dân sống dựa vào nông nghiệp và dân cư nông thôn. Hơn nữa, Việt Nam có nền tảng thể chế (bao gồm các cơ chế giải trình của địa phương) cần thiết để mang lại niềm tin rằng những quyền về tài sản nông thôn này được đảm bảo. Do vậy, việc ban hành các biện pháp khuyến khích dựa trên cơ sở thị trường đã tạo ra sự phản hồi về cung mạnh mẽ.</w:t>
      </w:r>
    </w:p>
    <w:p w:rsidR="00B8311B" w:rsidRPr="0000045E" w:rsidRDefault="00B8311B" w:rsidP="00B8311B">
      <w:pPr>
        <w:numPr>
          <w:ilvl w:val="0"/>
          <w:numId w:val="10"/>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 xml:space="preserve">Các cải cách của Việt Nam hầu hết đều toàn diện và bao gồm các biện pháp nhằm thúc đẩy cạnh tranh (ban đầu là giữa các hộ kinh doanh, doanh nghiệp nhà nước, nhà nhập khẩu và các nhà đầu tư nước ngoài, nhưng gaafn đây là giữa các ngành kinh doanh mới nổi). </w:t>
      </w:r>
    </w:p>
    <w:p w:rsidR="00B8311B" w:rsidRPr="0000045E" w:rsidRDefault="00B8311B" w:rsidP="00B8311B">
      <w:pPr>
        <w:numPr>
          <w:ilvl w:val="0"/>
          <w:numId w:val="10"/>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 xml:space="preserve">Các cơ cấu thể chế (nhìn chung) đã thúc đẩy tính ổn định và toàn diện: điều này đã mang lại niềm tin đối với việc các quyền về tài sản được bảo hộ. Mặc dù có những đợt bất ổn kinh tế đã diễn ra, còn các mối quan tâm hiện hành về tham nhũng và sự yếu kém trong cơ chế hành pháp (bao gồm tòa án kinh tế), các cơ cấu thể chế đã đủ để tạo ra các động lực để tiết kiệm và đầutư nguồn lực. Mức tiết kiệm và đầu tư sẽ nhanh chóng tăng đến mức tương tự (và thậm chí cao hơn) mức của các nền kinh tế Đông Á đang tăng trưởng nhanh. </w:t>
      </w: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noProof/>
          <w:sz w:val="28"/>
          <w:szCs w:val="28"/>
        </w:rPr>
      </w:pPr>
      <w:r w:rsidRPr="0000045E">
        <w:rPr>
          <w:rFonts w:ascii="Times New Roman" w:eastAsia="MS Mincho" w:hAnsi="Times New Roman" w:cs="Times New Roman"/>
          <w:noProof/>
          <w:sz w:val="28"/>
          <w:szCs w:val="28"/>
        </w:rPr>
        <w:drawing>
          <wp:inline distT="0" distB="0" distL="0" distR="0" wp14:anchorId="2D6CE497" wp14:editId="458A38D1">
            <wp:extent cx="5270500" cy="21652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2165255"/>
                    </a:xfrm>
                    <a:prstGeom prst="rect">
                      <a:avLst/>
                    </a:prstGeom>
                    <a:noFill/>
                    <a:ln>
                      <a:noFill/>
                    </a:ln>
                  </pic:spPr>
                </pic:pic>
              </a:graphicData>
            </a:graphic>
          </wp:inline>
        </w:drawing>
      </w: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numPr>
          <w:ilvl w:val="0"/>
          <w:numId w:val="10"/>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 xml:space="preserve">Việt Nam đã mở cửa đón nhận các ý tưởng và công nghệ mới, tiếp cận các thị trường mới và tiếp thu các kỹ năng mới (như ngoại ngữ và IT). Điều này được thể hiện ở sự tăng trưởng nhanh của các mặt hàng nông sản mới (cà phê, hạt điều, thủy sản, rau quả), việc chấp nhận công nghệ thông tin, tăng trưởng du lịch mạnh và chuyển đổi sang các các hoạt động công nghiệp có giá trị gia tăng cao hơn. Sự tăng trưởng nhanh chóng của việc sử dụng internet đã giúp cho việc đảm bảo các công nghệ và thị trường mới được hầu hết dân cư tiếp cận, và mang lại các lợi ich bổ sung về mặt tính giải trình của khu vực công. </w:t>
      </w:r>
    </w:p>
    <w:p w:rsidR="00B8311B" w:rsidRPr="0000045E" w:rsidRDefault="00B8311B" w:rsidP="00B8311B">
      <w:pPr>
        <w:numPr>
          <w:ilvl w:val="0"/>
          <w:numId w:val="7"/>
        </w:numPr>
        <w:spacing w:after="0" w:line="240" w:lineRule="auto"/>
        <w:ind w:firstLine="0"/>
        <w:contextualSpacing/>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sz w:val="28"/>
          <w:szCs w:val="28"/>
        </w:rPr>
      </w:pPr>
      <w:r w:rsidRPr="0000045E">
        <w:rPr>
          <w:rFonts w:ascii="Times New Roman" w:eastAsia="MS Mincho" w:hAnsi="Times New Roman" w:cs="Times New Roman"/>
          <w:noProof/>
          <w:sz w:val="28"/>
          <w:szCs w:val="28"/>
        </w:rPr>
        <w:drawing>
          <wp:inline distT="0" distB="0" distL="0" distR="0" wp14:anchorId="62B27A19" wp14:editId="7402F88E">
            <wp:extent cx="5270500" cy="216525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165255"/>
                    </a:xfrm>
                    <a:prstGeom prst="rect">
                      <a:avLst/>
                    </a:prstGeom>
                    <a:noFill/>
                    <a:ln>
                      <a:noFill/>
                    </a:ln>
                  </pic:spPr>
                </pic:pic>
              </a:graphicData>
            </a:graphic>
          </wp:inline>
        </w:drawing>
      </w: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numPr>
          <w:ilvl w:val="0"/>
          <w:numId w:val="10"/>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Cuối cùng thì Việt Nam may mắn gần gũi về mặt địa lý và văn hóa với các thị trường đang tăng trưởng nhanh, có thu nhập cao. Hầu hết dân số và lực lượng lao động ở Việt Nam đều ở những nơi gần cảng nên dễ thông thương, tiếp cận các thị trường.</w:t>
      </w: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b/>
          <w:sz w:val="28"/>
          <w:szCs w:val="28"/>
        </w:rPr>
      </w:pPr>
      <w:r w:rsidRPr="0000045E">
        <w:rPr>
          <w:rFonts w:ascii="Times New Roman" w:eastAsia="MS Mincho" w:hAnsi="Times New Roman" w:cs="Times New Roman"/>
          <w:b/>
          <w:sz w:val="28"/>
          <w:szCs w:val="28"/>
        </w:rPr>
        <w:t>2.</w:t>
      </w:r>
      <w:r w:rsidRPr="0000045E">
        <w:rPr>
          <w:rFonts w:ascii="Times New Roman" w:eastAsia="MS Mincho" w:hAnsi="Times New Roman" w:cs="Times New Roman"/>
          <w:b/>
          <w:sz w:val="28"/>
          <w:szCs w:val="28"/>
        </w:rPr>
        <w:tab/>
        <w:t xml:space="preserve">Các rào cản đối với việc tăng trưởng năng suất toàn diện </w:t>
      </w:r>
    </w:p>
    <w:p w:rsidR="00B8311B" w:rsidRPr="0000045E" w:rsidRDefault="00B8311B" w:rsidP="00B8311B">
      <w:pPr>
        <w:spacing w:after="0" w:line="240" w:lineRule="auto"/>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Với các thành công gần đây của Việt Nam, tại sao không tiếp tục những gì đã đạt được trong quá khứ? Có một số lập luận để tiếp tục tái cơ cấu như sau:</w:t>
      </w:r>
    </w:p>
    <w:p w:rsidR="00B8311B" w:rsidRPr="0000045E" w:rsidRDefault="00B8311B" w:rsidP="00B8311B">
      <w:pPr>
        <w:numPr>
          <w:ilvl w:val="0"/>
          <w:numId w:val="10"/>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Có dấu hiệu rõ ràng về việc giảm tốc độ tăng trưởng sản phẩm, đầu tư, tiết kiệm và năng suất trong vòng 5-10 năm gần đây. Và Việt Nam vẫn tụt hậu so với các thành viên sáng lập ASEAN xét theo thu nhập bình quân đầu người..</w:t>
      </w:r>
    </w:p>
    <w:p w:rsidR="00B8311B" w:rsidRPr="0000045E" w:rsidRDefault="00B8311B" w:rsidP="00B8311B">
      <w:pPr>
        <w:numPr>
          <w:ilvl w:val="0"/>
          <w:numId w:val="7"/>
        </w:numPr>
        <w:spacing w:after="0" w:line="240" w:lineRule="auto"/>
        <w:ind w:firstLine="0"/>
        <w:contextualSpacing/>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sz w:val="28"/>
          <w:szCs w:val="28"/>
        </w:rPr>
      </w:pPr>
      <w:r w:rsidRPr="0000045E">
        <w:rPr>
          <w:rFonts w:ascii="Times New Roman" w:eastAsia="MS Mincho" w:hAnsi="Times New Roman" w:cs="Times New Roman"/>
          <w:noProof/>
          <w:sz w:val="28"/>
          <w:szCs w:val="28"/>
        </w:rPr>
        <w:lastRenderedPageBreak/>
        <w:drawing>
          <wp:inline distT="0" distB="0" distL="0" distR="0" wp14:anchorId="310659DF" wp14:editId="5BB28445">
            <wp:extent cx="5270500" cy="216525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2165255"/>
                    </a:xfrm>
                    <a:prstGeom prst="rect">
                      <a:avLst/>
                    </a:prstGeom>
                    <a:noFill/>
                    <a:ln>
                      <a:noFill/>
                    </a:ln>
                  </pic:spPr>
                </pic:pic>
              </a:graphicData>
            </a:graphic>
          </wp:inline>
        </w:drawing>
      </w: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sz w:val="28"/>
          <w:szCs w:val="28"/>
        </w:rPr>
      </w:pPr>
      <w:r w:rsidRPr="0000045E">
        <w:rPr>
          <w:rFonts w:ascii="Times New Roman" w:eastAsia="MS Mincho" w:hAnsi="Times New Roman" w:cs="Times New Roman"/>
          <w:noProof/>
          <w:sz w:val="28"/>
          <w:szCs w:val="28"/>
        </w:rPr>
        <w:drawing>
          <wp:inline distT="0" distB="0" distL="0" distR="0" wp14:anchorId="6A89371C" wp14:editId="2D142A87">
            <wp:extent cx="5270500" cy="2133119"/>
            <wp:effectExtent l="0" t="0" r="0" b="63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2133119"/>
                    </a:xfrm>
                    <a:prstGeom prst="rect">
                      <a:avLst/>
                    </a:prstGeom>
                    <a:noFill/>
                    <a:ln>
                      <a:noFill/>
                    </a:ln>
                  </pic:spPr>
                </pic:pic>
              </a:graphicData>
            </a:graphic>
          </wp:inline>
        </w:drawing>
      </w: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numPr>
          <w:ilvl w:val="0"/>
          <w:numId w:val="7"/>
        </w:numPr>
        <w:spacing w:after="0" w:line="240" w:lineRule="auto"/>
        <w:ind w:firstLine="0"/>
        <w:contextualSpacing/>
        <w:rPr>
          <w:rFonts w:ascii="Times New Roman" w:eastAsia="MS Mincho" w:hAnsi="Times New Roman" w:cs="Times New Roman"/>
          <w:sz w:val="28"/>
          <w:szCs w:val="28"/>
        </w:rPr>
      </w:pPr>
    </w:p>
    <w:p w:rsidR="00B8311B" w:rsidRPr="0000045E" w:rsidRDefault="00B8311B" w:rsidP="00B8311B">
      <w:pPr>
        <w:numPr>
          <w:ilvl w:val="0"/>
          <w:numId w:val="11"/>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Tăng trưởng kinh tế và thu nhập bền vững sẽ đòi hỏi tăng đầu tư trong các ngành sản xuất tao giá trị cao. Việc bảo hộ tài sản ở mức mạnh hơn (và mức độ kỹ năng cao hơn) là cần thiết để thu hút đầu tư.</w:t>
      </w:r>
    </w:p>
    <w:p w:rsidR="00B8311B" w:rsidRPr="0000045E" w:rsidRDefault="00B8311B" w:rsidP="00B8311B">
      <w:pPr>
        <w:numPr>
          <w:ilvl w:val="0"/>
          <w:numId w:val="11"/>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Các nhóm lợi ích (bao gồm các doanh nghiệp nhà nước) có thể sử dụng các quyền lực kinh tế ngày càng tăng để kiềm chế cạnh tranh bằng cách hạn chế sự gia nhập của các doanh nghiệp ít có sự liên quan hơn. Điều này có thể làm xói mòn tính cạnh tranh, sự tăng trưởng toàn diện, công bằng và ổn định.</w:t>
      </w: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Kinh nghiệm quốc tế cho thấy sự phát triển của các thể chế kinh tế và chính  trị có thể đóng vai trò quan trọng trong thúc đẩy đầu tư nhằm đẩy mạnh sáng tạo và năng suất làm lợi cho nhân dân. Sự tăng trưởng trong quá khứ của Việt Nam là khá toàn diện, nhưng việc giám sát và cải cách thường xuyên là cần thiết nhằm đảm bảo sự tăng trưởng toàn diện (ví dụ, các cải cách luật đất đai nhìn chung khá toán diện, nhưng do các thị trường thay đổi và đất đô thị tăng lên về giá trị</w:t>
      </w:r>
      <w:r w:rsidRPr="0000045E">
        <w:rPr>
          <w:rFonts w:ascii="Times New Roman" w:eastAsia="MS Mincho" w:hAnsi="Times New Roman" w:cs="Times New Roman"/>
          <w:i/>
          <w:sz w:val="28"/>
          <w:szCs w:val="28"/>
        </w:rPr>
        <w:t xml:space="preserve">, tham nhũng (và </w:t>
      </w:r>
      <w:r w:rsidRPr="0000045E">
        <w:rPr>
          <w:rFonts w:ascii="Times New Roman" w:eastAsia="MS Mincho" w:hAnsi="Times New Roman" w:cs="Times New Roman"/>
          <w:i/>
          <w:sz w:val="28"/>
          <w:szCs w:val="28"/>
        </w:rPr>
        <w:lastRenderedPageBreak/>
        <w:t>các quan ngại của công chúng) tăng lên, sẽ cần nhiều cải cách nhằm tăng tính minh bạch và bảo đảm các quyền sử dụng đất của những đối tượng ít có mối liên quan đến những người quản lý luật đất đai).</w:t>
      </w:r>
      <w:r w:rsidRPr="0000045E">
        <w:rPr>
          <w:rFonts w:ascii="Times New Roman" w:eastAsia="MS Mincho" w:hAnsi="Times New Roman" w:cs="Times New Roman"/>
          <w:sz w:val="28"/>
          <w:szCs w:val="28"/>
        </w:rPr>
        <w:t xml:space="preserve"> </w:t>
      </w: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b/>
          <w:sz w:val="28"/>
          <w:szCs w:val="28"/>
          <w:lang w:val="en-AU"/>
        </w:rPr>
      </w:pPr>
      <w:r w:rsidRPr="0000045E">
        <w:rPr>
          <w:rFonts w:ascii="Times New Roman" w:eastAsia="MS Mincho" w:hAnsi="Times New Roman" w:cs="Times New Roman"/>
          <w:b/>
          <w:sz w:val="28"/>
          <w:szCs w:val="28"/>
        </w:rPr>
        <w:t xml:space="preserve">3. </w:t>
      </w:r>
      <w:r w:rsidRPr="0000045E">
        <w:rPr>
          <w:rFonts w:ascii="Times New Roman" w:eastAsia="MS Mincho" w:hAnsi="Times New Roman" w:cs="Times New Roman"/>
          <w:b/>
          <w:sz w:val="28"/>
          <w:szCs w:val="28"/>
        </w:rPr>
        <w:tab/>
        <w:t xml:space="preserve">Thiết kế </w:t>
      </w:r>
      <w:r w:rsidRPr="0000045E">
        <w:rPr>
          <w:rFonts w:ascii="Times New Roman" w:eastAsia="MS Mincho" w:hAnsi="Times New Roman" w:cs="Times New Roman"/>
          <w:b/>
          <w:sz w:val="28"/>
          <w:szCs w:val="28"/>
          <w:lang w:val="en-AU"/>
        </w:rPr>
        <w:t>RCV</w:t>
      </w:r>
    </w:p>
    <w:p w:rsidR="00B8311B" w:rsidRPr="0000045E" w:rsidRDefault="00B8311B" w:rsidP="00B8311B">
      <w:pPr>
        <w:spacing w:after="0" w:line="240" w:lineRule="auto"/>
        <w:rPr>
          <w:rFonts w:ascii="Times New Roman" w:eastAsia="MS Mincho" w:hAnsi="Times New Roman" w:cs="Times New Roman"/>
          <w:b/>
          <w:sz w:val="28"/>
          <w:szCs w:val="28"/>
          <w:lang w:val="en-AU"/>
        </w:rPr>
      </w:pPr>
    </w:p>
    <w:p w:rsidR="00B8311B" w:rsidRPr="0000045E" w:rsidRDefault="00B8311B" w:rsidP="00B8311B">
      <w:pPr>
        <w:tabs>
          <w:tab w:val="left" w:pos="450"/>
        </w:tabs>
        <w:spacing w:after="0" w:line="240" w:lineRule="auto"/>
        <w:jc w:val="both"/>
        <w:rPr>
          <w:rFonts w:ascii="Times New Roman" w:eastAsia="Calibri" w:hAnsi="Times New Roman" w:cs="Times New Roman"/>
          <w:sz w:val="28"/>
          <w:szCs w:val="28"/>
        </w:rPr>
      </w:pPr>
      <w:r w:rsidRPr="0000045E">
        <w:rPr>
          <w:rFonts w:ascii="Times New Roman" w:eastAsia="Calibri" w:hAnsi="Times New Roman" w:cs="Times New Roman"/>
          <w:sz w:val="28"/>
          <w:szCs w:val="28"/>
        </w:rPr>
        <w:t xml:space="preserve">Dự án Hỗ trợ tái cơ cấu nâng cao năng lực cạnh tranh Việt Nam (RCV) được xây dựng nhằm hỗ trợ thực hiện một số nội dung trong Đề án tổng thể tái cơ cấu kinh tế gắn với chuyển đổi mô hình tăng trưởng theo hướng nâng cao chất lượng, hiệu quả và năng lực cạnh tranh giai đoạn 2013-2020 của Chính phủ Việt Nam. Các mục tiêu của Đề án tổng thể được RCV hỗ trợ gồm: </w:t>
      </w:r>
    </w:p>
    <w:p w:rsidR="00B8311B" w:rsidRPr="0000045E" w:rsidRDefault="00B8311B" w:rsidP="00B8311B">
      <w:pPr>
        <w:tabs>
          <w:tab w:val="left" w:pos="450"/>
        </w:tabs>
        <w:spacing w:after="0" w:line="240" w:lineRule="auto"/>
        <w:ind w:left="360"/>
        <w:jc w:val="both"/>
        <w:rPr>
          <w:rFonts w:ascii="Times New Roman" w:eastAsia="Calibri" w:hAnsi="Times New Roman" w:cs="Times New Roman"/>
          <w:sz w:val="28"/>
          <w:szCs w:val="28"/>
        </w:rPr>
      </w:pPr>
      <w:r w:rsidRPr="0000045E">
        <w:rPr>
          <w:rFonts w:ascii="Times New Roman" w:eastAsia="Calibri" w:hAnsi="Times New Roman" w:cs="Times New Roman"/>
          <w:sz w:val="28"/>
          <w:szCs w:val="28"/>
        </w:rPr>
        <w:t>-</w:t>
      </w:r>
      <w:r w:rsidRPr="0000045E">
        <w:rPr>
          <w:rFonts w:ascii="Times New Roman" w:eastAsia="Calibri" w:hAnsi="Times New Roman" w:cs="Times New Roman"/>
          <w:sz w:val="28"/>
          <w:szCs w:val="28"/>
        </w:rPr>
        <w:tab/>
        <w:t>Nâng cao năng lực cạnh tranh quốc gia;</w:t>
      </w:r>
    </w:p>
    <w:p w:rsidR="00B8311B" w:rsidRPr="0000045E" w:rsidRDefault="00B8311B" w:rsidP="00B8311B">
      <w:pPr>
        <w:tabs>
          <w:tab w:val="left" w:pos="450"/>
        </w:tabs>
        <w:spacing w:after="0" w:line="240" w:lineRule="auto"/>
        <w:ind w:left="360"/>
        <w:jc w:val="both"/>
        <w:rPr>
          <w:rFonts w:ascii="Times New Roman" w:eastAsia="Calibri" w:hAnsi="Times New Roman" w:cs="Times New Roman"/>
          <w:sz w:val="28"/>
          <w:szCs w:val="28"/>
        </w:rPr>
      </w:pPr>
      <w:r w:rsidRPr="0000045E">
        <w:rPr>
          <w:rFonts w:ascii="Times New Roman" w:eastAsia="Calibri" w:hAnsi="Times New Roman" w:cs="Times New Roman"/>
          <w:sz w:val="28"/>
          <w:szCs w:val="28"/>
        </w:rPr>
        <w:t>-</w:t>
      </w:r>
      <w:r w:rsidRPr="0000045E">
        <w:rPr>
          <w:rFonts w:ascii="Times New Roman" w:eastAsia="Calibri" w:hAnsi="Times New Roman" w:cs="Times New Roman"/>
          <w:sz w:val="28"/>
          <w:szCs w:val="28"/>
        </w:rPr>
        <w:tab/>
        <w:t xml:space="preserve">Thúc đẩy năng suất lao động, tạo công ăn việc làm và tăng thu nhập; và </w:t>
      </w:r>
    </w:p>
    <w:p w:rsidR="00B8311B" w:rsidRPr="0000045E" w:rsidRDefault="00B8311B" w:rsidP="00B8311B">
      <w:pPr>
        <w:tabs>
          <w:tab w:val="left" w:pos="450"/>
        </w:tabs>
        <w:spacing w:after="0" w:line="240" w:lineRule="auto"/>
        <w:ind w:left="720" w:hanging="360"/>
        <w:jc w:val="both"/>
        <w:rPr>
          <w:rFonts w:ascii="Times New Roman" w:eastAsia="Calibri" w:hAnsi="Times New Roman" w:cs="Times New Roman"/>
          <w:sz w:val="28"/>
          <w:szCs w:val="28"/>
        </w:rPr>
      </w:pPr>
      <w:r w:rsidRPr="0000045E">
        <w:rPr>
          <w:rFonts w:ascii="Times New Roman" w:eastAsia="Calibri" w:hAnsi="Times New Roman" w:cs="Times New Roman"/>
          <w:sz w:val="28"/>
          <w:szCs w:val="28"/>
        </w:rPr>
        <w:t>-</w:t>
      </w:r>
      <w:r w:rsidRPr="0000045E">
        <w:rPr>
          <w:rFonts w:ascii="Times New Roman" w:eastAsia="Calibri" w:hAnsi="Times New Roman" w:cs="Times New Roman"/>
          <w:sz w:val="28"/>
          <w:szCs w:val="28"/>
        </w:rPr>
        <w:tab/>
        <w:t>Nâng cao tính minh bạch trong các quy định kinh doanh và giảm tham nhũng.</w:t>
      </w:r>
    </w:p>
    <w:p w:rsidR="00B8311B" w:rsidRPr="0000045E" w:rsidRDefault="00B8311B" w:rsidP="00B8311B">
      <w:pPr>
        <w:spacing w:after="0" w:line="240" w:lineRule="auto"/>
        <w:jc w:val="both"/>
        <w:rPr>
          <w:rFonts w:ascii="Times New Roman" w:eastAsia="MS Mincho" w:hAnsi="Times New Roman" w:cs="Times New Roman"/>
          <w:sz w:val="28"/>
          <w:szCs w:val="28"/>
          <w:lang w:val="en-AU"/>
        </w:rPr>
      </w:pPr>
      <w:r w:rsidRPr="0000045E">
        <w:rPr>
          <w:rFonts w:ascii="Times New Roman" w:eastAsia="Calibri" w:hAnsi="Times New Roman" w:cs="Times New Roman"/>
          <w:sz w:val="28"/>
          <w:szCs w:val="28"/>
        </w:rPr>
        <w:t>Dự án sẽ giúp Chính phủ Việt Nam đạt được các mục tiêu này thông qua ba hợp phần (tại CIEM, VCA, IPSARD) và một quỹ linh hoạt nhằm đáp ứng với các vấn đề ưu tiên cấp bách. Sơ đồ tổ chức của dự án được tóm tắt dưới đây:</w:t>
      </w:r>
    </w:p>
    <w:p w:rsidR="00B8311B" w:rsidRPr="0000045E" w:rsidRDefault="00B8311B" w:rsidP="00B8311B">
      <w:pPr>
        <w:spacing w:after="0" w:line="240" w:lineRule="auto"/>
        <w:rPr>
          <w:rFonts w:ascii="Times New Roman" w:eastAsia="MS Mincho" w:hAnsi="Times New Roman" w:cs="Times New Roman"/>
          <w:sz w:val="28"/>
          <w:szCs w:val="28"/>
          <w:lang w:val="en-AU"/>
        </w:rPr>
      </w:pPr>
    </w:p>
    <w:p w:rsidR="00B8311B" w:rsidRPr="0000045E" w:rsidRDefault="00B8311B" w:rsidP="00B8311B">
      <w:pPr>
        <w:spacing w:after="0" w:line="240" w:lineRule="auto"/>
        <w:rPr>
          <w:rFonts w:ascii="Times New Roman" w:eastAsia="MS Mincho" w:hAnsi="Times New Roman" w:cs="Times New Roman"/>
          <w:sz w:val="28"/>
          <w:szCs w:val="28"/>
          <w:lang w:val="en-AU"/>
        </w:rPr>
      </w:pPr>
      <w:bookmarkStart w:id="1" w:name="_Toc381803591"/>
      <w:bookmarkStart w:id="2" w:name="_Toc384999571"/>
      <w:r w:rsidRPr="0000045E">
        <w:rPr>
          <w:rFonts w:ascii="Times New Roman" w:eastAsia="Calibri" w:hAnsi="Times New Roman" w:cs="Times New Roman"/>
          <w:noProof/>
          <w:sz w:val="28"/>
          <w:szCs w:val="28"/>
        </w:rPr>
        <w:drawing>
          <wp:inline distT="0" distB="0" distL="0" distR="0" wp14:anchorId="79B05275" wp14:editId="7C585566">
            <wp:extent cx="5270500" cy="2743200"/>
            <wp:effectExtent l="5715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End w:id="1"/>
      <w:bookmarkEnd w:id="2"/>
    </w:p>
    <w:p w:rsidR="00B8311B" w:rsidRPr="0000045E" w:rsidRDefault="00B8311B" w:rsidP="00B8311B">
      <w:pPr>
        <w:spacing w:after="0" w:line="240" w:lineRule="auto"/>
        <w:rPr>
          <w:rFonts w:ascii="Times New Roman" w:eastAsia="MS Mincho" w:hAnsi="Times New Roman" w:cs="Times New Roman"/>
          <w:sz w:val="28"/>
          <w:szCs w:val="28"/>
          <w:lang w:val="en-AU"/>
        </w:rPr>
      </w:pPr>
    </w:p>
    <w:p w:rsidR="00B8311B" w:rsidRPr="0000045E" w:rsidRDefault="00B8311B" w:rsidP="00B8311B">
      <w:pPr>
        <w:spacing w:after="0" w:line="240" w:lineRule="auto"/>
        <w:rPr>
          <w:rFonts w:ascii="Times New Roman" w:eastAsia="MS Mincho" w:hAnsi="Times New Roman" w:cs="Times New Roman"/>
          <w:sz w:val="28"/>
          <w:szCs w:val="28"/>
          <w:lang w:val="en-AU"/>
        </w:rPr>
      </w:pPr>
    </w:p>
    <w:p w:rsidR="00B8311B" w:rsidRPr="0000045E" w:rsidRDefault="00B8311B" w:rsidP="00B8311B">
      <w:pPr>
        <w:spacing w:after="0" w:line="240" w:lineRule="auto"/>
        <w:jc w:val="both"/>
        <w:rPr>
          <w:rFonts w:ascii="Times New Roman" w:eastAsia="Times New Roman" w:hAnsi="Times New Roman" w:cs="Times New Roman"/>
          <w:sz w:val="28"/>
          <w:szCs w:val="28"/>
        </w:rPr>
      </w:pPr>
      <w:r w:rsidRPr="0000045E">
        <w:rPr>
          <w:rFonts w:ascii="Times New Roman" w:eastAsia="Times New Roman" w:hAnsi="Times New Roman" w:cs="Times New Roman"/>
          <w:sz w:val="28"/>
          <w:szCs w:val="28"/>
        </w:rPr>
        <w:t xml:space="preserve">Chính phủ Ô-xtrây-li-a sẽ cung cấp khoản hỗ trợ tài chính trị giá 3.100.000 đô la Úc bao gồm thoả thuận tài trợ trực tiếp và hỗ trợ kỹ thuật. Chính phủ Việt Nam, thông qua các cơ quan thực hiện, sẽ cung cấp vốn đối ứng trị giá 135.000 đô la Úc. Thời gian thực hiện giai đoạn đầu của dự án là 30 tháng từ tháng 6 năm 2014 đến tháng 12 năm 2016. </w:t>
      </w:r>
    </w:p>
    <w:p w:rsidR="00B8311B" w:rsidRPr="0000045E" w:rsidRDefault="00B8311B" w:rsidP="00B8311B">
      <w:pPr>
        <w:spacing w:after="0" w:line="240" w:lineRule="auto"/>
        <w:rPr>
          <w:rFonts w:ascii="Times New Roman" w:eastAsia="MS Mincho" w:hAnsi="Times New Roman" w:cs="Times New Roman"/>
          <w:sz w:val="28"/>
          <w:szCs w:val="28"/>
          <w:lang w:val="en-AU"/>
        </w:rPr>
      </w:pPr>
    </w:p>
    <w:p w:rsidR="00B8311B" w:rsidRPr="0000045E" w:rsidRDefault="00B8311B" w:rsidP="00B8311B">
      <w:pPr>
        <w:spacing w:after="0" w:line="240" w:lineRule="auto"/>
        <w:rPr>
          <w:rFonts w:ascii="Times New Roman" w:eastAsia="MS Mincho" w:hAnsi="Times New Roman" w:cs="Times New Roman"/>
          <w:b/>
          <w:sz w:val="28"/>
          <w:szCs w:val="28"/>
        </w:rPr>
      </w:pPr>
      <w:r w:rsidRPr="0000045E">
        <w:rPr>
          <w:rFonts w:ascii="Times New Roman" w:eastAsia="MS Mincho" w:hAnsi="Times New Roman" w:cs="Times New Roman"/>
          <w:b/>
          <w:sz w:val="28"/>
          <w:szCs w:val="28"/>
        </w:rPr>
        <w:lastRenderedPageBreak/>
        <w:t xml:space="preserve">4. Phương pháp tiếp cận của Dự án RCV để giải quyết những rào cản này </w:t>
      </w:r>
    </w:p>
    <w:p w:rsidR="00B8311B" w:rsidRPr="0000045E" w:rsidRDefault="00B8311B" w:rsidP="00B8311B">
      <w:pPr>
        <w:spacing w:after="0" w:line="240" w:lineRule="auto"/>
        <w:rPr>
          <w:rFonts w:ascii="Times New Roman" w:eastAsia="MS Mincho" w:hAnsi="Times New Roman" w:cs="Times New Roman"/>
          <w:sz w:val="28"/>
          <w:szCs w:val="28"/>
        </w:rPr>
      </w:pPr>
      <w:r w:rsidRPr="0000045E">
        <w:rPr>
          <w:rFonts w:ascii="Times New Roman" w:eastAsia="MS Mincho" w:hAnsi="Times New Roman" w:cs="Times New Roman"/>
          <w:sz w:val="28"/>
          <w:szCs w:val="28"/>
        </w:rPr>
        <w:t>Dự án RCV nhằm mang lại giá trị gia tăng cho các phân tích chính sách hiện hành và quá trình cải cách ở Việt Nam thông qua:</w:t>
      </w:r>
    </w:p>
    <w:p w:rsidR="00B8311B" w:rsidRPr="0000045E" w:rsidRDefault="00B8311B" w:rsidP="00B8311B">
      <w:pPr>
        <w:numPr>
          <w:ilvl w:val="0"/>
          <w:numId w:val="12"/>
        </w:numPr>
        <w:spacing w:after="0" w:line="240" w:lineRule="auto"/>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Xây dựng năng lực phân tích chính sách dựa trên cơ sở bằng chứng bằng việc thúc đẩy mối liên hệ giữa các cơ quan của Việt nam, Ôxtrâylia và các cơ quan nghiên nghiên cứu chính sách khác (như đánh giá đồng cấp về nghiên cứu, phân tích và đề xuất chính sách, cung cấp các bằng chứng về kinh nghiệm quốc tế so sánh).</w:t>
      </w:r>
    </w:p>
    <w:p w:rsidR="00B8311B" w:rsidRPr="0000045E" w:rsidRDefault="00B8311B" w:rsidP="00B8311B">
      <w:pPr>
        <w:numPr>
          <w:ilvl w:val="0"/>
          <w:numId w:val="12"/>
        </w:numPr>
        <w:spacing w:after="0" w:line="240" w:lineRule="auto"/>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Hỗ trợ việc giám sát, đánh giá quá trình thực hiện chương trình tái cơ cấu kinh tế Việt Nam để xác định các rào cản đối với việc thực thi và đề xuất các giải pháp lựa chọn để xóa bỏ rào cản.</w:t>
      </w:r>
    </w:p>
    <w:p w:rsidR="00B8311B" w:rsidRPr="0000045E" w:rsidRDefault="00B8311B" w:rsidP="00B8311B">
      <w:pPr>
        <w:numPr>
          <w:ilvl w:val="0"/>
          <w:numId w:val="12"/>
        </w:numPr>
        <w:spacing w:after="0" w:line="240" w:lineRule="auto"/>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Hỗ trợ các nghiên cứu chuyên sâu về các ngành chính hoặc các lĩnh vực  cần sự hợp tác liên ngành để giải quyết các rào cản đối với tăng trưởng năng suất.</w:t>
      </w:r>
    </w:p>
    <w:p w:rsidR="00B8311B" w:rsidRPr="0000045E" w:rsidRDefault="00B8311B" w:rsidP="00B8311B">
      <w:pPr>
        <w:numPr>
          <w:ilvl w:val="0"/>
          <w:numId w:val="12"/>
        </w:numPr>
        <w:spacing w:after="0" w:line="240" w:lineRule="auto"/>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Khuyến khích sự tham gia rộng hơn của công chúng đối với các vấn đề chính sách chủ yếu thông qua hội thảo, tọa đàm và tham gia cùng các phương tiện thông tin đại chúng.</w:t>
      </w:r>
    </w:p>
    <w:p w:rsidR="00B8311B" w:rsidRPr="0000045E" w:rsidRDefault="00B8311B" w:rsidP="00B8311B">
      <w:pPr>
        <w:spacing w:after="0" w:line="240" w:lineRule="auto"/>
        <w:ind w:left="720"/>
        <w:jc w:val="both"/>
        <w:rPr>
          <w:rFonts w:ascii="Times New Roman" w:eastAsia="MS Mincho" w:hAnsi="Times New Roman" w:cs="Times New Roman"/>
          <w:sz w:val="28"/>
          <w:szCs w:val="28"/>
        </w:rPr>
      </w:pPr>
    </w:p>
    <w:p w:rsidR="00B8311B" w:rsidRPr="0000045E" w:rsidRDefault="00B8311B" w:rsidP="00B8311B">
      <w:pPr>
        <w:spacing w:after="0" w:line="240" w:lineRule="auto"/>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 xml:space="preserve">Tôi xin đưa ra một ví dụ về việc này kiên quan đến thực tế như thế nào... </w:t>
      </w:r>
    </w:p>
    <w:p w:rsidR="00B8311B" w:rsidRPr="0000045E" w:rsidRDefault="00B8311B" w:rsidP="00B8311B">
      <w:pPr>
        <w:spacing w:after="0" w:line="240" w:lineRule="auto"/>
        <w:jc w:val="both"/>
        <w:rPr>
          <w:rFonts w:ascii="Times New Roman" w:eastAsia="MS Mincho" w:hAnsi="Times New Roman" w:cs="Times New Roman"/>
          <w:sz w:val="28"/>
          <w:szCs w:val="28"/>
        </w:rPr>
      </w:pPr>
    </w:p>
    <w:p w:rsidR="00B8311B" w:rsidRPr="0000045E" w:rsidRDefault="00B8311B" w:rsidP="00B8311B">
      <w:pPr>
        <w:spacing w:after="0" w:line="240" w:lineRule="auto"/>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Sự tăng trưởng từ sớm về năng suất nông nghiệp đã mang lại cho Việt Nam những thành công ban đầu về giảm nghèo. Tỷ trọng giá trị gia tăng của ngành nông nghiệp trong GDP đã giảm đáng kể trong những năm gần đây, trong khi lĩnh vực công nghiệp và dịch vụ đã tăng trưởng với tốc độ nhanh hơn.</w:t>
      </w: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sz w:val="28"/>
          <w:szCs w:val="28"/>
        </w:rPr>
      </w:pPr>
      <w:r w:rsidRPr="0000045E">
        <w:rPr>
          <w:rFonts w:ascii="Times New Roman" w:eastAsia="MS Mincho" w:hAnsi="Times New Roman" w:cs="Times New Roman"/>
          <w:noProof/>
          <w:sz w:val="28"/>
          <w:szCs w:val="28"/>
        </w:rPr>
        <w:drawing>
          <wp:inline distT="0" distB="0" distL="0" distR="0" wp14:anchorId="63D136D8" wp14:editId="6C31E1FF">
            <wp:extent cx="5270500" cy="192140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0" cy="1921400"/>
                    </a:xfrm>
                    <a:prstGeom prst="rect">
                      <a:avLst/>
                    </a:prstGeom>
                    <a:noFill/>
                    <a:ln>
                      <a:noFill/>
                    </a:ln>
                  </pic:spPr>
                </pic:pic>
              </a:graphicData>
            </a:graphic>
          </wp:inline>
        </w:drawing>
      </w: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 xml:space="preserve">Tăng trưởng năng suất lao động nông nghiệp đã bị chững lại bất kể việc chuyển đổi thành thị-nông thôn ngày càng tăng với số người lao động chuyển từ các ngành </w:t>
      </w:r>
      <w:r w:rsidRPr="0000045E">
        <w:rPr>
          <w:rFonts w:ascii="Times New Roman" w:eastAsia="MS Mincho" w:hAnsi="Times New Roman" w:cs="Times New Roman"/>
          <w:sz w:val="28"/>
          <w:szCs w:val="28"/>
        </w:rPr>
        <w:lastRenderedPageBreak/>
        <w:t xml:space="preserve">nông nghiệp sang các ngành công nghiệp và dịch vụ. Năng suất lao động nông nghiệp tại Hàn Quốc và Malaixia vẫn cao hơn Thái lan, Inđônêxia và Việt Nam. </w:t>
      </w:r>
    </w:p>
    <w:p w:rsidR="00B8311B" w:rsidRPr="0000045E" w:rsidRDefault="00B8311B" w:rsidP="00B8311B">
      <w:pPr>
        <w:spacing w:after="0" w:line="240" w:lineRule="auto"/>
        <w:jc w:val="both"/>
        <w:rPr>
          <w:rFonts w:ascii="Times New Roman" w:eastAsia="MS Mincho" w:hAnsi="Times New Roman" w:cs="Times New Roman"/>
          <w:sz w:val="28"/>
          <w:szCs w:val="28"/>
        </w:rPr>
      </w:pPr>
    </w:p>
    <w:p w:rsidR="00B8311B" w:rsidRPr="0000045E" w:rsidRDefault="00B8311B" w:rsidP="00B8311B">
      <w:pPr>
        <w:spacing w:after="0" w:line="240" w:lineRule="auto"/>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Các mức năng suất nông nghiệp thấp góp phần vào việc tạo ra sự chênh lệch về thu nhập giữa nông thôn và thành thị và có thể dẫn đến tình trạng náo động xã hộinhưu Thái lan đã trải qua trong những năm vừa qua. Đồ thị dưới đây thể hiện nông dân Việt Nam có thể phải chịu mức bất bình đẳng lớn hơn nếu không thực hiện một số giiar pháp. Do vậy các nghiên cứu nhằm xác định các nhân tố làm chậm mức tăng trưởng năng suất của ngành nông nghiệp sẽ là ưu tiên của Dự án RCV.</w:t>
      </w: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sz w:val="28"/>
          <w:szCs w:val="28"/>
        </w:rPr>
      </w:pPr>
      <w:r w:rsidRPr="0000045E">
        <w:rPr>
          <w:rFonts w:ascii="Times New Roman" w:eastAsia="MS Mincho" w:hAnsi="Times New Roman" w:cs="Times New Roman"/>
          <w:noProof/>
          <w:sz w:val="28"/>
          <w:szCs w:val="28"/>
        </w:rPr>
        <w:drawing>
          <wp:inline distT="0" distB="0" distL="0" distR="0" wp14:anchorId="50B7D232" wp14:editId="3707AAFF">
            <wp:extent cx="5270500" cy="195034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0" cy="1950347"/>
                    </a:xfrm>
                    <a:prstGeom prst="rect">
                      <a:avLst/>
                    </a:prstGeom>
                    <a:noFill/>
                    <a:ln>
                      <a:noFill/>
                    </a:ln>
                  </pic:spPr>
                </pic:pic>
              </a:graphicData>
            </a:graphic>
          </wp:inline>
        </w:drawing>
      </w: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sz w:val="28"/>
          <w:szCs w:val="28"/>
        </w:rPr>
      </w:pPr>
      <w:r w:rsidRPr="0000045E">
        <w:rPr>
          <w:rFonts w:ascii="Times New Roman" w:eastAsia="MS Mincho" w:hAnsi="Times New Roman" w:cs="Times New Roman"/>
          <w:noProof/>
          <w:sz w:val="28"/>
          <w:szCs w:val="28"/>
        </w:rPr>
        <w:drawing>
          <wp:inline distT="0" distB="0" distL="0" distR="0" wp14:anchorId="3C37C284" wp14:editId="422E1F8A">
            <wp:extent cx="5270500" cy="1950347"/>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0" cy="1950347"/>
                    </a:xfrm>
                    <a:prstGeom prst="rect">
                      <a:avLst/>
                    </a:prstGeom>
                    <a:noFill/>
                    <a:ln>
                      <a:noFill/>
                    </a:ln>
                  </pic:spPr>
                </pic:pic>
              </a:graphicData>
            </a:graphic>
          </wp:inline>
        </w:drawing>
      </w: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 xml:space="preserve">Dự án RCV nhằm hỗ trợ nhận diện các rào cản đối với sự sáng tạo và tái cơ cấu lĩnh vực nông nghiệp. Tại sao Việt Nam thành công khi nổi lên như nước dẫn đầu về xuất khẩu các mặt hàng như cafe, hạt điều, rau và cây ăn quả, nhưng không thể làm tăng tổng năng suất lao động trong lĩnh vực nông nghiệp. Rõ ràng, nông dân Việt Nam có thể sáng tạo và cạnh tranh thành công trên thị trường thế giới nếu nhận được cơ hội. </w:t>
      </w:r>
    </w:p>
    <w:p w:rsidR="00B8311B" w:rsidRPr="0000045E" w:rsidRDefault="00B8311B" w:rsidP="00B8311B">
      <w:pPr>
        <w:spacing w:after="0" w:line="240" w:lineRule="auto"/>
        <w:rPr>
          <w:rFonts w:ascii="Times New Roman" w:eastAsia="MS Mincho" w:hAnsi="Times New Roman" w:cs="Times New Roman"/>
          <w:sz w:val="28"/>
          <w:szCs w:val="28"/>
        </w:rPr>
      </w:pPr>
    </w:p>
    <w:p w:rsidR="00B8311B" w:rsidRPr="0000045E" w:rsidRDefault="00B8311B" w:rsidP="00B8311B">
      <w:pPr>
        <w:spacing w:after="0" w:line="240" w:lineRule="auto"/>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lastRenderedPageBreak/>
        <w:t>Với hầu hết người lao động trong lĩnh vực nông nghiệp đều trồng lúa, Dự án RCV tập trung vào những nghiên cứu ban đầu trong lĩnh vực này. Thay bằng việc nghiên cứu các vấn đề về công nghệ, Dự án RCV sẽ thực hiện phương pháp tiếp cận liên ngành nhằm nhận diện các rào cản về thể chế đối với việc tăng trưởng giá trị gia tăng. Ví dụ, Dự án RCV có thể hỗ trợ các nghiên cứu về:</w:t>
      </w:r>
    </w:p>
    <w:p w:rsidR="00B8311B" w:rsidRPr="0000045E" w:rsidRDefault="00B8311B" w:rsidP="00B8311B">
      <w:pPr>
        <w:numPr>
          <w:ilvl w:val="0"/>
          <w:numId w:val="13"/>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Chuỗi giá trị lúa gạo</w:t>
      </w:r>
    </w:p>
    <w:p w:rsidR="00B8311B" w:rsidRPr="0000045E" w:rsidRDefault="00B8311B" w:rsidP="00B8311B">
      <w:pPr>
        <w:numPr>
          <w:ilvl w:val="0"/>
          <w:numId w:val="13"/>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 xml:space="preserve">Xây dựng mô hình và nâng cao nhận thức các tác động về mặt kinh tế và khía cạnh phân phối của các rào cản thể chế đối với việc tái cơ cấu nông nghiệp, bao gồm: </w:t>
      </w:r>
    </w:p>
    <w:p w:rsidR="00B8311B" w:rsidRPr="0000045E" w:rsidRDefault="00B8311B" w:rsidP="00B8311B">
      <w:pPr>
        <w:numPr>
          <w:ilvl w:val="1"/>
          <w:numId w:val="13"/>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 xml:space="preserve">Các hạn chế đối với việc sử dụng đất trồng lúa nhằm các mục đích khác, và  </w:t>
      </w:r>
    </w:p>
    <w:p w:rsidR="00B8311B" w:rsidRPr="0000045E" w:rsidRDefault="00B8311B" w:rsidP="00B8311B">
      <w:pPr>
        <w:numPr>
          <w:ilvl w:val="1"/>
          <w:numId w:val="13"/>
        </w:numPr>
        <w:spacing w:after="0" w:line="240" w:lineRule="auto"/>
        <w:contextualSpacing/>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Vấn đề độc quyền thị trường của hai tổng công ty xuất khẩu gạo.</w:t>
      </w:r>
    </w:p>
    <w:p w:rsidR="00B8311B" w:rsidRPr="0000045E" w:rsidRDefault="00B8311B" w:rsidP="00B8311B">
      <w:pPr>
        <w:spacing w:after="0" w:line="240" w:lineRule="auto"/>
        <w:ind w:left="50"/>
        <w:jc w:val="both"/>
        <w:rPr>
          <w:rFonts w:ascii="Times New Roman" w:eastAsia="MS Mincho" w:hAnsi="Times New Roman" w:cs="Times New Roman"/>
          <w:sz w:val="28"/>
          <w:szCs w:val="28"/>
        </w:rPr>
      </w:pPr>
    </w:p>
    <w:p w:rsidR="00B8311B" w:rsidRPr="0000045E" w:rsidRDefault="00B8311B" w:rsidP="00B8311B">
      <w:pPr>
        <w:spacing w:after="0" w:line="240" w:lineRule="auto"/>
        <w:ind w:left="50"/>
        <w:jc w:val="both"/>
        <w:rPr>
          <w:rFonts w:ascii="Times New Roman" w:eastAsia="MS Mincho" w:hAnsi="Times New Roman" w:cs="Times New Roman"/>
          <w:sz w:val="28"/>
          <w:szCs w:val="28"/>
        </w:rPr>
      </w:pPr>
      <w:r w:rsidRPr="0000045E">
        <w:rPr>
          <w:rFonts w:ascii="Times New Roman" w:eastAsia="MS Mincho" w:hAnsi="Times New Roman" w:cs="Times New Roman"/>
          <w:sz w:val="28"/>
          <w:szCs w:val="28"/>
        </w:rPr>
        <w:t xml:space="preserve">Các vấn đề trên bao gồm các trách nhiệm liên quan đến Bộ Nông nghiệp và Phát triển Nông thôn (về chiến lược và việc lập kế hoạch cho ngành), cair cách doanh nghiệp nhà nước và tái cơ cấu kinh tế (CIEM), chính sách cạnh tranh (Cục quản lý cạnh tranh). Do vậy, các đối tác của dự án RCV sẽ có điều kiện để hợp tác trong việc phát hiện và giải quyết các rào cản thực tế đối với tái cơ cấu nông nghiệp tập trung vào các vấn đề thể chế của ngành lúa gạo. </w:t>
      </w:r>
    </w:p>
    <w:p w:rsidR="009F3F04" w:rsidRPr="0000045E" w:rsidRDefault="009F3F04" w:rsidP="00B90FFA">
      <w:pPr>
        <w:tabs>
          <w:tab w:val="left" w:pos="450"/>
          <w:tab w:val="left" w:pos="630"/>
          <w:tab w:val="left" w:pos="720"/>
        </w:tabs>
        <w:spacing w:after="0" w:line="240" w:lineRule="auto"/>
        <w:jc w:val="both"/>
        <w:rPr>
          <w:rFonts w:ascii="Times New Roman" w:eastAsia="Times New Roman" w:hAnsi="Times New Roman" w:cs="Times New Roman"/>
          <w:b/>
          <w:sz w:val="28"/>
          <w:szCs w:val="28"/>
          <w:lang w:val="en-AU"/>
        </w:rPr>
      </w:pPr>
    </w:p>
    <w:p w:rsidR="003612D3" w:rsidRPr="0000045E" w:rsidRDefault="003612D3" w:rsidP="003612D3">
      <w:pPr>
        <w:spacing w:after="0" w:line="240" w:lineRule="auto"/>
        <w:rPr>
          <w:rFonts w:ascii="Times New Roman" w:eastAsia="MS Mincho" w:hAnsi="Times New Roman" w:cs="Times New Roman"/>
          <w:sz w:val="28"/>
          <w:szCs w:val="28"/>
        </w:rPr>
      </w:pPr>
    </w:p>
    <w:sectPr w:rsidR="003612D3" w:rsidRPr="0000045E" w:rsidSect="005728A2">
      <w:footerReference w:type="default" r:id="rId22"/>
      <w:pgSz w:w="12240" w:h="15840"/>
      <w:pgMar w:top="1276" w:right="1440" w:bottom="1440" w:left="1440" w:header="720" w:footer="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73" w:rsidRDefault="00026773">
      <w:pPr>
        <w:spacing w:after="0" w:line="240" w:lineRule="auto"/>
      </w:pPr>
      <w:r>
        <w:separator/>
      </w:r>
    </w:p>
  </w:endnote>
  <w:endnote w:type="continuationSeparator" w:id="0">
    <w:p w:rsidR="00026773" w:rsidRDefault="0002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3"/>
    <w:family w:val="roman"/>
    <w:pitch w:val="variable"/>
    <w:sig w:usb0="E00002FF" w:usb1="400004FF" w:usb2="00000000" w:usb3="00000000" w:csb0="0000019F" w:csb1="00000000"/>
  </w:font>
  <w:font w:name="MS Mincho">
    <w:altName w:val="Malgun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463586"/>
      <w:docPartObj>
        <w:docPartGallery w:val="Page Numbers (Bottom of Page)"/>
        <w:docPartUnique/>
      </w:docPartObj>
    </w:sdtPr>
    <w:sdtEndPr>
      <w:rPr>
        <w:noProof/>
      </w:rPr>
    </w:sdtEndPr>
    <w:sdtContent>
      <w:p w:rsidR="00021672" w:rsidRDefault="00021672">
        <w:pPr>
          <w:pStyle w:val="Footer"/>
          <w:jc w:val="right"/>
        </w:pPr>
        <w:r>
          <w:fldChar w:fldCharType="begin"/>
        </w:r>
        <w:r>
          <w:instrText xml:space="preserve"> PAGE   \* MERGEFORMAT </w:instrText>
        </w:r>
        <w:r>
          <w:fldChar w:fldCharType="separate"/>
        </w:r>
        <w:r w:rsidR="0000045E">
          <w:rPr>
            <w:noProof/>
          </w:rPr>
          <w:t>1</w:t>
        </w:r>
        <w:r>
          <w:rPr>
            <w:noProof/>
          </w:rPr>
          <w:fldChar w:fldCharType="end"/>
        </w:r>
      </w:p>
    </w:sdtContent>
  </w:sdt>
  <w:p w:rsidR="00021672" w:rsidRDefault="00021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73" w:rsidRDefault="00026773">
      <w:pPr>
        <w:spacing w:after="0" w:line="240" w:lineRule="auto"/>
      </w:pPr>
      <w:r>
        <w:separator/>
      </w:r>
    </w:p>
  </w:footnote>
  <w:footnote w:type="continuationSeparator" w:id="0">
    <w:p w:rsidR="00026773" w:rsidRDefault="0002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7C5"/>
    <w:multiLevelType w:val="hybridMultilevel"/>
    <w:tmpl w:val="24E4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A56F4"/>
    <w:multiLevelType w:val="hybridMultilevel"/>
    <w:tmpl w:val="1A5C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53D76"/>
    <w:multiLevelType w:val="hybridMultilevel"/>
    <w:tmpl w:val="4DCE5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367A8"/>
    <w:multiLevelType w:val="hybridMultilevel"/>
    <w:tmpl w:val="CE82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B5EEC"/>
    <w:multiLevelType w:val="hybridMultilevel"/>
    <w:tmpl w:val="E13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61DD7"/>
    <w:multiLevelType w:val="hybridMultilevel"/>
    <w:tmpl w:val="28D6EF48"/>
    <w:lvl w:ilvl="0" w:tplc="352C514C">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95D5B"/>
    <w:multiLevelType w:val="hybridMultilevel"/>
    <w:tmpl w:val="58DEA58E"/>
    <w:lvl w:ilvl="0" w:tplc="7592FFBC">
      <w:start w:val="1"/>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C0A1ABF"/>
    <w:multiLevelType w:val="hybridMultilevel"/>
    <w:tmpl w:val="A186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26153"/>
    <w:multiLevelType w:val="hybridMultilevel"/>
    <w:tmpl w:val="FFC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E35DB"/>
    <w:multiLevelType w:val="hybridMultilevel"/>
    <w:tmpl w:val="B6AEBF9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4BD27D18"/>
    <w:multiLevelType w:val="hybridMultilevel"/>
    <w:tmpl w:val="C6A0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C7EA6"/>
    <w:multiLevelType w:val="multilevel"/>
    <w:tmpl w:val="03B2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E84E9B"/>
    <w:multiLevelType w:val="hybridMultilevel"/>
    <w:tmpl w:val="09B6CC9A"/>
    <w:lvl w:ilvl="0" w:tplc="3304A63C">
      <w:start w:val="1"/>
      <w:numFmt w:val="decimal"/>
      <w:pStyle w:val="ListParagraph"/>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ED47554">
      <w:start w:val="1"/>
      <w:numFmt w:val="lowerLetter"/>
      <w:lvlText w:val="%2."/>
      <w:lvlJc w:val="left"/>
      <w:pPr>
        <w:ind w:left="87" w:hanging="360"/>
      </w:pPr>
    </w:lvl>
    <w:lvl w:ilvl="2" w:tplc="0F0A5426">
      <w:start w:val="1"/>
      <w:numFmt w:val="lowerLetter"/>
      <w:pStyle w:val="ListParagraphindent"/>
      <w:lvlText w:val="%3)"/>
      <w:lvlJc w:val="left"/>
      <w:pPr>
        <w:ind w:left="987" w:hanging="360"/>
      </w:pPr>
    </w:lvl>
    <w:lvl w:ilvl="3" w:tplc="47586656">
      <w:start w:val="1"/>
      <w:numFmt w:val="lowerRoman"/>
      <w:pStyle w:val="ListParagraphindent2"/>
      <w:lvlText w:val="%4."/>
      <w:lvlJc w:val="left"/>
      <w:pPr>
        <w:ind w:left="1527" w:hanging="360"/>
      </w:pPr>
      <w:rPr>
        <w:rFonts w:hint="default"/>
        <w:i w:val="0"/>
      </w:rPr>
    </w:lvl>
    <w:lvl w:ilvl="4" w:tplc="9A647F5E">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num w:numId="1">
    <w:abstractNumId w:val="12"/>
  </w:num>
  <w:num w:numId="2">
    <w:abstractNumId w:val="6"/>
  </w:num>
  <w:num w:numId="3">
    <w:abstractNumId w:val="3"/>
  </w:num>
  <w:num w:numId="4">
    <w:abstractNumId w:val="2"/>
  </w:num>
  <w:num w:numId="5">
    <w:abstractNumId w:val="11"/>
  </w:num>
  <w:num w:numId="6">
    <w:abstractNumId w:val="5"/>
  </w:num>
  <w:num w:numId="7">
    <w:abstractNumId w:val="8"/>
  </w:num>
  <w:num w:numId="8">
    <w:abstractNumId w:val="10"/>
  </w:num>
  <w:num w:numId="9">
    <w:abstractNumId w:val="0"/>
  </w:num>
  <w:num w:numId="10">
    <w:abstractNumId w:val="4"/>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B8"/>
    <w:rsid w:val="0000045E"/>
    <w:rsid w:val="000033BB"/>
    <w:rsid w:val="000165D6"/>
    <w:rsid w:val="00021672"/>
    <w:rsid w:val="00026773"/>
    <w:rsid w:val="000722E0"/>
    <w:rsid w:val="00087C38"/>
    <w:rsid w:val="000B58FA"/>
    <w:rsid w:val="001154AD"/>
    <w:rsid w:val="00120539"/>
    <w:rsid w:val="00122A0B"/>
    <w:rsid w:val="001E7D15"/>
    <w:rsid w:val="001F0777"/>
    <w:rsid w:val="002152E6"/>
    <w:rsid w:val="00296E29"/>
    <w:rsid w:val="002F04B5"/>
    <w:rsid w:val="003612D3"/>
    <w:rsid w:val="00367C99"/>
    <w:rsid w:val="003769E9"/>
    <w:rsid w:val="00380877"/>
    <w:rsid w:val="00395F02"/>
    <w:rsid w:val="003E2A80"/>
    <w:rsid w:val="00403BE7"/>
    <w:rsid w:val="00440977"/>
    <w:rsid w:val="004939DC"/>
    <w:rsid w:val="004A5836"/>
    <w:rsid w:val="004A6EAC"/>
    <w:rsid w:val="004B1379"/>
    <w:rsid w:val="005201FE"/>
    <w:rsid w:val="00521894"/>
    <w:rsid w:val="0052378F"/>
    <w:rsid w:val="00527B1C"/>
    <w:rsid w:val="00542C52"/>
    <w:rsid w:val="00543B05"/>
    <w:rsid w:val="005728A2"/>
    <w:rsid w:val="00593028"/>
    <w:rsid w:val="005A1810"/>
    <w:rsid w:val="005A221D"/>
    <w:rsid w:val="00632109"/>
    <w:rsid w:val="006637A3"/>
    <w:rsid w:val="00680A35"/>
    <w:rsid w:val="00685524"/>
    <w:rsid w:val="006B7407"/>
    <w:rsid w:val="006F270E"/>
    <w:rsid w:val="00700209"/>
    <w:rsid w:val="00714EBC"/>
    <w:rsid w:val="00755072"/>
    <w:rsid w:val="00761E45"/>
    <w:rsid w:val="007C79F2"/>
    <w:rsid w:val="007F12E1"/>
    <w:rsid w:val="008232E8"/>
    <w:rsid w:val="00834E17"/>
    <w:rsid w:val="008522F8"/>
    <w:rsid w:val="00895A2D"/>
    <w:rsid w:val="008D7187"/>
    <w:rsid w:val="009561E6"/>
    <w:rsid w:val="009700A0"/>
    <w:rsid w:val="009849B9"/>
    <w:rsid w:val="009F3F04"/>
    <w:rsid w:val="00A218C1"/>
    <w:rsid w:val="00A34C11"/>
    <w:rsid w:val="00A355D0"/>
    <w:rsid w:val="00A81A90"/>
    <w:rsid w:val="00A81CD6"/>
    <w:rsid w:val="00AC5C05"/>
    <w:rsid w:val="00AE46B7"/>
    <w:rsid w:val="00B454C9"/>
    <w:rsid w:val="00B66CB8"/>
    <w:rsid w:val="00B77C0F"/>
    <w:rsid w:val="00B83086"/>
    <w:rsid w:val="00B8311B"/>
    <w:rsid w:val="00B90FFA"/>
    <w:rsid w:val="00BB4F87"/>
    <w:rsid w:val="00BC0EE4"/>
    <w:rsid w:val="00BE75C5"/>
    <w:rsid w:val="00BF12D9"/>
    <w:rsid w:val="00C41DCD"/>
    <w:rsid w:val="00CA3FDB"/>
    <w:rsid w:val="00CB102B"/>
    <w:rsid w:val="00CC48D1"/>
    <w:rsid w:val="00CE5162"/>
    <w:rsid w:val="00D31F55"/>
    <w:rsid w:val="00D82442"/>
    <w:rsid w:val="00DB297E"/>
    <w:rsid w:val="00DC6B8C"/>
    <w:rsid w:val="00DD7409"/>
    <w:rsid w:val="00DE599E"/>
    <w:rsid w:val="00E21911"/>
    <w:rsid w:val="00E226E0"/>
    <w:rsid w:val="00E249C5"/>
    <w:rsid w:val="00E35BF1"/>
    <w:rsid w:val="00E37087"/>
    <w:rsid w:val="00E40C8E"/>
    <w:rsid w:val="00E72954"/>
    <w:rsid w:val="00E82CF8"/>
    <w:rsid w:val="00EB28BD"/>
    <w:rsid w:val="00EB59EF"/>
    <w:rsid w:val="00ED5DEE"/>
    <w:rsid w:val="00EE16FB"/>
    <w:rsid w:val="00F2196C"/>
    <w:rsid w:val="00F37009"/>
    <w:rsid w:val="00F51FF0"/>
    <w:rsid w:val="00F63235"/>
    <w:rsid w:val="00F756A0"/>
    <w:rsid w:val="00FA02D5"/>
    <w:rsid w:val="00FA7EAA"/>
    <w:rsid w:val="00FB5054"/>
    <w:rsid w:val="00FC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CB8"/>
    <w:pPr>
      <w:numPr>
        <w:numId w:val="1"/>
      </w:numPr>
    </w:pPr>
    <w:rPr>
      <w:rFonts w:ascii="Arial" w:eastAsia="Times New Roman" w:hAnsi="Arial" w:cs="Arial"/>
      <w:sz w:val="20"/>
      <w:szCs w:val="20"/>
      <w:lang w:eastAsia="en-AU"/>
    </w:rPr>
  </w:style>
  <w:style w:type="paragraph" w:customStyle="1" w:styleId="ListParagraphindent">
    <w:name w:val="List Paragraph indent"/>
    <w:basedOn w:val="ListParagraph"/>
    <w:rsid w:val="00B66CB8"/>
    <w:pPr>
      <w:numPr>
        <w:ilvl w:val="2"/>
      </w:numPr>
    </w:pPr>
    <w:rPr>
      <w:lang w:val="en-AU"/>
    </w:rPr>
  </w:style>
  <w:style w:type="paragraph" w:customStyle="1" w:styleId="ListParagraphindent2">
    <w:name w:val="List Paragraph indent 2"/>
    <w:basedOn w:val="ListParagraphindent"/>
    <w:rsid w:val="00B66CB8"/>
    <w:pPr>
      <w:numPr>
        <w:ilvl w:val="3"/>
      </w:numPr>
    </w:pPr>
  </w:style>
  <w:style w:type="paragraph" w:styleId="Footer">
    <w:name w:val="footer"/>
    <w:basedOn w:val="Normal"/>
    <w:link w:val="FooterChar"/>
    <w:uiPriority w:val="99"/>
    <w:rsid w:val="00BE75C5"/>
    <w:pPr>
      <w:tabs>
        <w:tab w:val="center" w:pos="4680"/>
        <w:tab w:val="right" w:pos="9360"/>
      </w:tabs>
      <w:spacing w:before="200"/>
    </w:pPr>
    <w:rPr>
      <w:rFonts w:ascii="Calibri" w:eastAsia="Times New Roman" w:hAnsi="Calibri" w:cs="Times New Roman"/>
      <w:szCs w:val="20"/>
      <w:lang w:bidi="en-US"/>
    </w:rPr>
  </w:style>
  <w:style w:type="character" w:customStyle="1" w:styleId="FooterChar">
    <w:name w:val="Footer Char"/>
    <w:basedOn w:val="DefaultParagraphFont"/>
    <w:link w:val="Footer"/>
    <w:uiPriority w:val="99"/>
    <w:rsid w:val="00BE75C5"/>
    <w:rPr>
      <w:rFonts w:ascii="Calibri" w:eastAsia="Times New Roman" w:hAnsi="Calibri" w:cs="Times New Roman"/>
      <w:szCs w:val="20"/>
      <w:lang w:bidi="en-US"/>
    </w:rPr>
  </w:style>
  <w:style w:type="character" w:styleId="CommentReference">
    <w:name w:val="annotation reference"/>
    <w:basedOn w:val="DefaultParagraphFont"/>
    <w:uiPriority w:val="99"/>
    <w:semiHidden/>
    <w:unhideWhenUsed/>
    <w:rsid w:val="00FC25CB"/>
    <w:rPr>
      <w:sz w:val="16"/>
      <w:szCs w:val="16"/>
    </w:rPr>
  </w:style>
  <w:style w:type="paragraph" w:styleId="CommentText">
    <w:name w:val="annotation text"/>
    <w:basedOn w:val="Normal"/>
    <w:link w:val="CommentTextChar"/>
    <w:uiPriority w:val="99"/>
    <w:semiHidden/>
    <w:unhideWhenUsed/>
    <w:rsid w:val="00FC25CB"/>
    <w:pPr>
      <w:spacing w:line="240" w:lineRule="auto"/>
    </w:pPr>
    <w:rPr>
      <w:sz w:val="20"/>
      <w:szCs w:val="20"/>
    </w:rPr>
  </w:style>
  <w:style w:type="character" w:customStyle="1" w:styleId="CommentTextChar">
    <w:name w:val="Comment Text Char"/>
    <w:basedOn w:val="DefaultParagraphFont"/>
    <w:link w:val="CommentText"/>
    <w:uiPriority w:val="99"/>
    <w:semiHidden/>
    <w:rsid w:val="00FC25CB"/>
    <w:rPr>
      <w:sz w:val="20"/>
      <w:szCs w:val="20"/>
    </w:rPr>
  </w:style>
  <w:style w:type="paragraph" w:styleId="CommentSubject">
    <w:name w:val="annotation subject"/>
    <w:basedOn w:val="CommentText"/>
    <w:next w:val="CommentText"/>
    <w:link w:val="CommentSubjectChar"/>
    <w:uiPriority w:val="99"/>
    <w:semiHidden/>
    <w:unhideWhenUsed/>
    <w:rsid w:val="00FC25CB"/>
    <w:rPr>
      <w:b/>
      <w:bCs/>
    </w:rPr>
  </w:style>
  <w:style w:type="character" w:customStyle="1" w:styleId="CommentSubjectChar">
    <w:name w:val="Comment Subject Char"/>
    <w:basedOn w:val="CommentTextChar"/>
    <w:link w:val="CommentSubject"/>
    <w:uiPriority w:val="99"/>
    <w:semiHidden/>
    <w:rsid w:val="00FC25CB"/>
    <w:rPr>
      <w:b/>
      <w:bCs/>
      <w:sz w:val="20"/>
      <w:szCs w:val="20"/>
    </w:rPr>
  </w:style>
  <w:style w:type="paragraph" w:styleId="BalloonText">
    <w:name w:val="Balloon Text"/>
    <w:basedOn w:val="Normal"/>
    <w:link w:val="BalloonTextChar"/>
    <w:uiPriority w:val="99"/>
    <w:semiHidden/>
    <w:unhideWhenUsed/>
    <w:rsid w:val="00FC2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CB"/>
    <w:rPr>
      <w:rFonts w:ascii="Tahoma" w:hAnsi="Tahoma" w:cs="Tahoma"/>
      <w:sz w:val="16"/>
      <w:szCs w:val="16"/>
    </w:rPr>
  </w:style>
  <w:style w:type="character" w:styleId="Hyperlink">
    <w:name w:val="Hyperlink"/>
    <w:basedOn w:val="DefaultParagraphFont"/>
    <w:uiPriority w:val="99"/>
    <w:unhideWhenUsed/>
    <w:rsid w:val="000165D6"/>
    <w:rPr>
      <w:color w:val="0000FF" w:themeColor="hyperlink"/>
      <w:u w:val="single"/>
    </w:rPr>
  </w:style>
  <w:style w:type="paragraph" w:styleId="NormalWeb">
    <w:name w:val="Normal (Web)"/>
    <w:basedOn w:val="Normal"/>
    <w:uiPriority w:val="99"/>
    <w:semiHidden/>
    <w:unhideWhenUsed/>
    <w:rsid w:val="00367C9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572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CB8"/>
    <w:pPr>
      <w:numPr>
        <w:numId w:val="1"/>
      </w:numPr>
    </w:pPr>
    <w:rPr>
      <w:rFonts w:ascii="Arial" w:eastAsia="Times New Roman" w:hAnsi="Arial" w:cs="Arial"/>
      <w:sz w:val="20"/>
      <w:szCs w:val="20"/>
      <w:lang w:eastAsia="en-AU"/>
    </w:rPr>
  </w:style>
  <w:style w:type="paragraph" w:customStyle="1" w:styleId="ListParagraphindent">
    <w:name w:val="List Paragraph indent"/>
    <w:basedOn w:val="ListParagraph"/>
    <w:rsid w:val="00B66CB8"/>
    <w:pPr>
      <w:numPr>
        <w:ilvl w:val="2"/>
      </w:numPr>
    </w:pPr>
    <w:rPr>
      <w:lang w:val="en-AU"/>
    </w:rPr>
  </w:style>
  <w:style w:type="paragraph" w:customStyle="1" w:styleId="ListParagraphindent2">
    <w:name w:val="List Paragraph indent 2"/>
    <w:basedOn w:val="ListParagraphindent"/>
    <w:rsid w:val="00B66CB8"/>
    <w:pPr>
      <w:numPr>
        <w:ilvl w:val="3"/>
      </w:numPr>
    </w:pPr>
  </w:style>
  <w:style w:type="paragraph" w:styleId="Footer">
    <w:name w:val="footer"/>
    <w:basedOn w:val="Normal"/>
    <w:link w:val="FooterChar"/>
    <w:uiPriority w:val="99"/>
    <w:rsid w:val="00BE75C5"/>
    <w:pPr>
      <w:tabs>
        <w:tab w:val="center" w:pos="4680"/>
        <w:tab w:val="right" w:pos="9360"/>
      </w:tabs>
      <w:spacing w:before="200"/>
    </w:pPr>
    <w:rPr>
      <w:rFonts w:ascii="Calibri" w:eastAsia="Times New Roman" w:hAnsi="Calibri" w:cs="Times New Roman"/>
      <w:szCs w:val="20"/>
      <w:lang w:bidi="en-US"/>
    </w:rPr>
  </w:style>
  <w:style w:type="character" w:customStyle="1" w:styleId="FooterChar">
    <w:name w:val="Footer Char"/>
    <w:basedOn w:val="DefaultParagraphFont"/>
    <w:link w:val="Footer"/>
    <w:uiPriority w:val="99"/>
    <w:rsid w:val="00BE75C5"/>
    <w:rPr>
      <w:rFonts w:ascii="Calibri" w:eastAsia="Times New Roman" w:hAnsi="Calibri" w:cs="Times New Roman"/>
      <w:szCs w:val="20"/>
      <w:lang w:bidi="en-US"/>
    </w:rPr>
  </w:style>
  <w:style w:type="character" w:styleId="CommentReference">
    <w:name w:val="annotation reference"/>
    <w:basedOn w:val="DefaultParagraphFont"/>
    <w:uiPriority w:val="99"/>
    <w:semiHidden/>
    <w:unhideWhenUsed/>
    <w:rsid w:val="00FC25CB"/>
    <w:rPr>
      <w:sz w:val="16"/>
      <w:szCs w:val="16"/>
    </w:rPr>
  </w:style>
  <w:style w:type="paragraph" w:styleId="CommentText">
    <w:name w:val="annotation text"/>
    <w:basedOn w:val="Normal"/>
    <w:link w:val="CommentTextChar"/>
    <w:uiPriority w:val="99"/>
    <w:semiHidden/>
    <w:unhideWhenUsed/>
    <w:rsid w:val="00FC25CB"/>
    <w:pPr>
      <w:spacing w:line="240" w:lineRule="auto"/>
    </w:pPr>
    <w:rPr>
      <w:sz w:val="20"/>
      <w:szCs w:val="20"/>
    </w:rPr>
  </w:style>
  <w:style w:type="character" w:customStyle="1" w:styleId="CommentTextChar">
    <w:name w:val="Comment Text Char"/>
    <w:basedOn w:val="DefaultParagraphFont"/>
    <w:link w:val="CommentText"/>
    <w:uiPriority w:val="99"/>
    <w:semiHidden/>
    <w:rsid w:val="00FC25CB"/>
    <w:rPr>
      <w:sz w:val="20"/>
      <w:szCs w:val="20"/>
    </w:rPr>
  </w:style>
  <w:style w:type="paragraph" w:styleId="CommentSubject">
    <w:name w:val="annotation subject"/>
    <w:basedOn w:val="CommentText"/>
    <w:next w:val="CommentText"/>
    <w:link w:val="CommentSubjectChar"/>
    <w:uiPriority w:val="99"/>
    <w:semiHidden/>
    <w:unhideWhenUsed/>
    <w:rsid w:val="00FC25CB"/>
    <w:rPr>
      <w:b/>
      <w:bCs/>
    </w:rPr>
  </w:style>
  <w:style w:type="character" w:customStyle="1" w:styleId="CommentSubjectChar">
    <w:name w:val="Comment Subject Char"/>
    <w:basedOn w:val="CommentTextChar"/>
    <w:link w:val="CommentSubject"/>
    <w:uiPriority w:val="99"/>
    <w:semiHidden/>
    <w:rsid w:val="00FC25CB"/>
    <w:rPr>
      <w:b/>
      <w:bCs/>
      <w:sz w:val="20"/>
      <w:szCs w:val="20"/>
    </w:rPr>
  </w:style>
  <w:style w:type="paragraph" w:styleId="BalloonText">
    <w:name w:val="Balloon Text"/>
    <w:basedOn w:val="Normal"/>
    <w:link w:val="BalloonTextChar"/>
    <w:uiPriority w:val="99"/>
    <w:semiHidden/>
    <w:unhideWhenUsed/>
    <w:rsid w:val="00FC2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CB"/>
    <w:rPr>
      <w:rFonts w:ascii="Tahoma" w:hAnsi="Tahoma" w:cs="Tahoma"/>
      <w:sz w:val="16"/>
      <w:szCs w:val="16"/>
    </w:rPr>
  </w:style>
  <w:style w:type="character" w:styleId="Hyperlink">
    <w:name w:val="Hyperlink"/>
    <w:basedOn w:val="DefaultParagraphFont"/>
    <w:uiPriority w:val="99"/>
    <w:unhideWhenUsed/>
    <w:rsid w:val="000165D6"/>
    <w:rPr>
      <w:color w:val="0000FF" w:themeColor="hyperlink"/>
      <w:u w:val="single"/>
    </w:rPr>
  </w:style>
  <w:style w:type="paragraph" w:styleId="NormalWeb">
    <w:name w:val="Normal (Web)"/>
    <w:basedOn w:val="Normal"/>
    <w:uiPriority w:val="99"/>
    <w:semiHidden/>
    <w:unhideWhenUsed/>
    <w:rsid w:val="00367C9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572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09174">
      <w:bodyDiv w:val="1"/>
      <w:marLeft w:val="0"/>
      <w:marRight w:val="0"/>
      <w:marTop w:val="0"/>
      <w:marBottom w:val="0"/>
      <w:divBdr>
        <w:top w:val="none" w:sz="0" w:space="0" w:color="auto"/>
        <w:left w:val="none" w:sz="0" w:space="0" w:color="auto"/>
        <w:bottom w:val="none" w:sz="0" w:space="0" w:color="auto"/>
        <w:right w:val="none" w:sz="0" w:space="0" w:color="auto"/>
      </w:divBdr>
      <w:divsChild>
        <w:div w:id="1168131802">
          <w:marLeft w:val="0"/>
          <w:marRight w:val="0"/>
          <w:marTop w:val="0"/>
          <w:marBottom w:val="0"/>
          <w:divBdr>
            <w:top w:val="none" w:sz="0" w:space="0" w:color="auto"/>
            <w:left w:val="none" w:sz="0" w:space="0" w:color="auto"/>
            <w:bottom w:val="none" w:sz="0" w:space="0" w:color="auto"/>
            <w:right w:val="none" w:sz="0" w:space="0" w:color="auto"/>
          </w:divBdr>
          <w:divsChild>
            <w:div w:id="558437382">
              <w:marLeft w:val="0"/>
              <w:marRight w:val="0"/>
              <w:marTop w:val="0"/>
              <w:marBottom w:val="0"/>
              <w:divBdr>
                <w:top w:val="none" w:sz="0" w:space="0" w:color="auto"/>
                <w:left w:val="none" w:sz="0" w:space="0" w:color="auto"/>
                <w:bottom w:val="none" w:sz="0" w:space="0" w:color="auto"/>
                <w:right w:val="none" w:sz="0" w:space="0" w:color="auto"/>
              </w:divBdr>
              <w:divsChild>
                <w:div w:id="1425421109">
                  <w:marLeft w:val="0"/>
                  <w:marRight w:val="0"/>
                  <w:marTop w:val="0"/>
                  <w:marBottom w:val="0"/>
                  <w:divBdr>
                    <w:top w:val="none" w:sz="0" w:space="0" w:color="auto"/>
                    <w:left w:val="none" w:sz="0" w:space="0" w:color="auto"/>
                    <w:bottom w:val="none" w:sz="0" w:space="0" w:color="auto"/>
                    <w:right w:val="none" w:sz="0" w:space="0" w:color="auto"/>
                  </w:divBdr>
                  <w:divsChild>
                    <w:div w:id="757940571">
                      <w:marLeft w:val="0"/>
                      <w:marRight w:val="0"/>
                      <w:marTop w:val="0"/>
                      <w:marBottom w:val="0"/>
                      <w:divBdr>
                        <w:top w:val="none" w:sz="0" w:space="0" w:color="auto"/>
                        <w:left w:val="none" w:sz="0" w:space="0" w:color="auto"/>
                        <w:bottom w:val="none" w:sz="0" w:space="0" w:color="auto"/>
                        <w:right w:val="none" w:sz="0" w:space="0" w:color="auto"/>
                      </w:divBdr>
                      <w:divsChild>
                        <w:div w:id="1304190260">
                          <w:marLeft w:val="0"/>
                          <w:marRight w:val="0"/>
                          <w:marTop w:val="0"/>
                          <w:marBottom w:val="0"/>
                          <w:divBdr>
                            <w:top w:val="none" w:sz="0" w:space="0" w:color="auto"/>
                            <w:left w:val="none" w:sz="0" w:space="0" w:color="auto"/>
                            <w:bottom w:val="none" w:sz="0" w:space="0" w:color="auto"/>
                            <w:right w:val="none" w:sz="0" w:space="0" w:color="auto"/>
                          </w:divBdr>
                          <w:divsChild>
                            <w:div w:id="532765120">
                              <w:marLeft w:val="0"/>
                              <w:marRight w:val="0"/>
                              <w:marTop w:val="0"/>
                              <w:marBottom w:val="0"/>
                              <w:divBdr>
                                <w:top w:val="none" w:sz="0" w:space="0" w:color="auto"/>
                                <w:left w:val="none" w:sz="0" w:space="0" w:color="auto"/>
                                <w:bottom w:val="none" w:sz="0" w:space="0" w:color="auto"/>
                                <w:right w:val="none" w:sz="0" w:space="0" w:color="auto"/>
                              </w:divBdr>
                              <w:divsChild>
                                <w:div w:id="747308560">
                                  <w:marLeft w:val="0"/>
                                  <w:marRight w:val="0"/>
                                  <w:marTop w:val="0"/>
                                  <w:marBottom w:val="0"/>
                                  <w:divBdr>
                                    <w:top w:val="none" w:sz="0" w:space="0" w:color="auto"/>
                                    <w:left w:val="none" w:sz="0" w:space="0" w:color="auto"/>
                                    <w:bottom w:val="none" w:sz="0" w:space="0" w:color="auto"/>
                                    <w:right w:val="none" w:sz="0" w:space="0" w:color="auto"/>
                                  </w:divBdr>
                                  <w:divsChild>
                                    <w:div w:id="18816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889">
      <w:bodyDiv w:val="1"/>
      <w:marLeft w:val="0"/>
      <w:marRight w:val="0"/>
      <w:marTop w:val="0"/>
      <w:marBottom w:val="0"/>
      <w:divBdr>
        <w:top w:val="none" w:sz="0" w:space="0" w:color="auto"/>
        <w:left w:val="none" w:sz="0" w:space="0" w:color="auto"/>
        <w:bottom w:val="none" w:sz="0" w:space="0" w:color="auto"/>
        <w:right w:val="none" w:sz="0" w:space="0" w:color="auto"/>
      </w:divBdr>
    </w:div>
    <w:div w:id="1583876946">
      <w:bodyDiv w:val="1"/>
      <w:marLeft w:val="0"/>
      <w:marRight w:val="0"/>
      <w:marTop w:val="0"/>
      <w:marBottom w:val="0"/>
      <w:divBdr>
        <w:top w:val="none" w:sz="0" w:space="0" w:color="auto"/>
        <w:left w:val="none" w:sz="0" w:space="0" w:color="auto"/>
        <w:bottom w:val="none" w:sz="0" w:space="0" w:color="auto"/>
        <w:right w:val="none" w:sz="0" w:space="0" w:color="auto"/>
      </w:divBdr>
      <w:divsChild>
        <w:div w:id="1422334580">
          <w:marLeft w:val="0"/>
          <w:marRight w:val="0"/>
          <w:marTop w:val="0"/>
          <w:marBottom w:val="0"/>
          <w:divBdr>
            <w:top w:val="none" w:sz="0" w:space="0" w:color="auto"/>
            <w:left w:val="none" w:sz="0" w:space="0" w:color="auto"/>
            <w:bottom w:val="none" w:sz="0" w:space="0" w:color="auto"/>
            <w:right w:val="none" w:sz="0" w:space="0" w:color="auto"/>
          </w:divBdr>
          <w:divsChild>
            <w:div w:id="1314724911">
              <w:marLeft w:val="0"/>
              <w:marRight w:val="0"/>
              <w:marTop w:val="0"/>
              <w:marBottom w:val="0"/>
              <w:divBdr>
                <w:top w:val="none" w:sz="0" w:space="0" w:color="auto"/>
                <w:left w:val="none" w:sz="0" w:space="0" w:color="auto"/>
                <w:bottom w:val="none" w:sz="0" w:space="0" w:color="auto"/>
                <w:right w:val="none" w:sz="0" w:space="0" w:color="auto"/>
              </w:divBdr>
              <w:divsChild>
                <w:div w:id="1884635022">
                  <w:marLeft w:val="0"/>
                  <w:marRight w:val="0"/>
                  <w:marTop w:val="0"/>
                  <w:marBottom w:val="0"/>
                  <w:divBdr>
                    <w:top w:val="none" w:sz="0" w:space="0" w:color="auto"/>
                    <w:left w:val="none" w:sz="0" w:space="0" w:color="auto"/>
                    <w:bottom w:val="none" w:sz="0" w:space="0" w:color="auto"/>
                    <w:right w:val="none" w:sz="0" w:space="0" w:color="auto"/>
                  </w:divBdr>
                  <w:divsChild>
                    <w:div w:id="1541434188">
                      <w:marLeft w:val="0"/>
                      <w:marRight w:val="0"/>
                      <w:marTop w:val="0"/>
                      <w:marBottom w:val="0"/>
                      <w:divBdr>
                        <w:top w:val="none" w:sz="0" w:space="0" w:color="auto"/>
                        <w:left w:val="none" w:sz="0" w:space="0" w:color="auto"/>
                        <w:bottom w:val="none" w:sz="0" w:space="0" w:color="auto"/>
                        <w:right w:val="none" w:sz="0" w:space="0" w:color="auto"/>
                      </w:divBdr>
                      <w:divsChild>
                        <w:div w:id="436750497">
                          <w:marLeft w:val="0"/>
                          <w:marRight w:val="0"/>
                          <w:marTop w:val="0"/>
                          <w:marBottom w:val="0"/>
                          <w:divBdr>
                            <w:top w:val="none" w:sz="0" w:space="0" w:color="auto"/>
                            <w:left w:val="none" w:sz="0" w:space="0" w:color="auto"/>
                            <w:bottom w:val="none" w:sz="0" w:space="0" w:color="auto"/>
                            <w:right w:val="none" w:sz="0" w:space="0" w:color="auto"/>
                          </w:divBdr>
                          <w:divsChild>
                            <w:div w:id="761098982">
                              <w:marLeft w:val="0"/>
                              <w:marRight w:val="0"/>
                              <w:marTop w:val="0"/>
                              <w:marBottom w:val="0"/>
                              <w:divBdr>
                                <w:top w:val="none" w:sz="0" w:space="0" w:color="auto"/>
                                <w:left w:val="none" w:sz="0" w:space="0" w:color="auto"/>
                                <w:bottom w:val="none" w:sz="0" w:space="0" w:color="auto"/>
                                <w:right w:val="none" w:sz="0" w:space="0" w:color="auto"/>
                              </w:divBdr>
                              <w:divsChild>
                                <w:div w:id="1435054948">
                                  <w:marLeft w:val="0"/>
                                  <w:marRight w:val="0"/>
                                  <w:marTop w:val="0"/>
                                  <w:marBottom w:val="0"/>
                                  <w:divBdr>
                                    <w:top w:val="none" w:sz="0" w:space="0" w:color="auto"/>
                                    <w:left w:val="none" w:sz="0" w:space="0" w:color="auto"/>
                                    <w:bottom w:val="none" w:sz="0" w:space="0" w:color="auto"/>
                                    <w:right w:val="none" w:sz="0" w:space="0" w:color="auto"/>
                                  </w:divBdr>
                                  <w:divsChild>
                                    <w:div w:id="15755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07/relationships/diagramDrawing" Target="diagrams/drawing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F98744-93FB-C04B-99E2-2C9FCD4CB372}"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1369F77B-FBC5-B94F-9A8A-F072313C2226}">
      <dgm:prSet phldrT="[Text]"/>
      <dgm:spPr>
        <a:xfrm>
          <a:off x="1585712" y="107662"/>
          <a:ext cx="1306044" cy="65302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Giám đốc Dự án </a:t>
          </a:r>
        </a:p>
      </dgm:t>
    </dgm:pt>
    <dgm:pt modelId="{784F08B8-7A58-F545-967B-3F5C708F284B}" type="parTrans" cxnId="{2022EE68-07C5-EC41-8679-C989948F8B69}">
      <dgm:prSet/>
      <dgm:spPr/>
      <dgm:t>
        <a:bodyPr/>
        <a:lstStyle/>
        <a:p>
          <a:endParaRPr lang="en-US"/>
        </a:p>
      </dgm:t>
    </dgm:pt>
    <dgm:pt modelId="{A3E7E42A-0D03-0544-8A46-E1DB62B7F4E2}" type="sibTrans" cxnId="{2022EE68-07C5-EC41-8679-C989948F8B69}">
      <dgm:prSet/>
      <dgm:spPr/>
      <dgm:t>
        <a:bodyPr/>
        <a:lstStyle/>
        <a:p>
          <a:endParaRPr lang="en-US"/>
        </a:p>
      </dgm:t>
    </dgm:pt>
    <dgm:pt modelId="{E04A4581-DC31-3E42-AD36-44C7726810B6}" type="asst">
      <dgm:prSet phldrT="[Text]"/>
      <dgm:spPr>
        <a:xfrm>
          <a:off x="1565821" y="1055223"/>
          <a:ext cx="1306044" cy="65302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Văn phòng điều phối Dự án do SPC-E phụ trách (bao gồm Quỹ linh hoạt và quản lý SAG) </a:t>
          </a:r>
        </a:p>
      </dgm:t>
    </dgm:pt>
    <dgm:pt modelId="{4DCA30B9-7815-B645-A1A9-7EFC63E13B2D}" type="parTrans" cxnId="{10593A4A-CD69-A844-A988-129307086888}">
      <dgm:prSet/>
      <dgm:spPr>
        <a:xfrm>
          <a:off x="2238734" y="760684"/>
          <a:ext cx="633131" cy="621050"/>
        </a:xfrm>
        <a:noFill/>
        <a:ln w="9525" cap="flat" cmpd="sng" algn="ctr">
          <a:solidFill>
            <a:sysClr val="window" lastClr="FFFFFF"/>
          </a:solidFill>
          <a:prstDash val="solid"/>
        </a:ln>
        <a:effectLst/>
      </dgm:spPr>
      <dgm:t>
        <a:bodyPr/>
        <a:lstStyle/>
        <a:p>
          <a:endParaRPr lang="en-US"/>
        </a:p>
      </dgm:t>
    </dgm:pt>
    <dgm:pt modelId="{21D50A70-5C87-6E4B-8D3F-AFF937A0C491}" type="sibTrans" cxnId="{10593A4A-CD69-A844-A988-129307086888}">
      <dgm:prSet/>
      <dgm:spPr/>
      <dgm:t>
        <a:bodyPr/>
        <a:lstStyle/>
        <a:p>
          <a:endParaRPr lang="en-US"/>
        </a:p>
      </dgm:t>
    </dgm:pt>
    <dgm:pt modelId="{C4B89507-01D7-2E48-9413-AF9E6E50F88A}">
      <dgm:prSet phldrT="[Text]"/>
      <dgm:spPr>
        <a:xfrm>
          <a:off x="331" y="1972380"/>
          <a:ext cx="1306044" cy="65302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CIEM-MPI: Tăng cường tính minh bạch và năng lực cạnh tranhcủa doanh nghiệp</a:t>
          </a:r>
        </a:p>
      </dgm:t>
    </dgm:pt>
    <dgm:pt modelId="{75DF73BE-1058-1D44-BAD2-95EC32F18DE5}" type="parTrans" cxnId="{25C000BC-4D48-3A49-AB1A-1E866558CC27}">
      <dgm:prSet/>
      <dgm:spPr>
        <a:xfrm>
          <a:off x="653353" y="760684"/>
          <a:ext cx="1585381" cy="1211695"/>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5C6A47E7-CD2D-9146-AB05-3853A0C16E48}" type="sibTrans" cxnId="{25C000BC-4D48-3A49-AB1A-1E866558CC27}">
      <dgm:prSet/>
      <dgm:spPr/>
      <dgm:t>
        <a:bodyPr/>
        <a:lstStyle/>
        <a:p>
          <a:endParaRPr lang="en-US"/>
        </a:p>
      </dgm:t>
    </dgm:pt>
    <dgm:pt modelId="{9FAFFE54-16DC-544A-AD9C-7AE82F7AFD18}">
      <dgm:prSet phldrT="[Text]"/>
      <dgm:spPr>
        <a:xfrm>
          <a:off x="1580645" y="1972380"/>
          <a:ext cx="1306044" cy="65302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VCA-MOIT:Tái cơ cấu các thể chế cạnh tranh</a:t>
          </a:r>
        </a:p>
      </dgm:t>
    </dgm:pt>
    <dgm:pt modelId="{25288148-CEB0-4B4D-947D-85E543CE2D4A}" type="parTrans" cxnId="{41BB37BE-8FAA-9947-964A-4FA0A9041815}">
      <dgm:prSet/>
      <dgm:spPr>
        <a:xfrm>
          <a:off x="2187947" y="760684"/>
          <a:ext cx="91440" cy="1211695"/>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6DA9F97A-4D98-3940-9EDD-10BED86AD27B}" type="sibTrans" cxnId="{41BB37BE-8FAA-9947-964A-4FA0A9041815}">
      <dgm:prSet/>
      <dgm:spPr/>
      <dgm:t>
        <a:bodyPr/>
        <a:lstStyle/>
        <a:p>
          <a:endParaRPr lang="en-US"/>
        </a:p>
      </dgm:t>
    </dgm:pt>
    <dgm:pt modelId="{C3064557-A92D-3845-BA0B-D0F949C72574}">
      <dgm:prSet phldrT="[Text]"/>
      <dgm:spPr>
        <a:xfrm>
          <a:off x="3160958" y="1972380"/>
          <a:ext cx="1306044" cy="65302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IPSARD-MARD: Tái cơ cấu kinh tế nông thôn</a:t>
          </a:r>
        </a:p>
      </dgm:t>
    </dgm:pt>
    <dgm:pt modelId="{EB27958B-849E-A64A-82F0-8273A69DFCF4}" type="parTrans" cxnId="{29BDA552-B28C-A147-BCC9-9C865B5853E1}">
      <dgm:prSet/>
      <dgm:spPr>
        <a:xfrm>
          <a:off x="2238734" y="760684"/>
          <a:ext cx="1575246" cy="1211695"/>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E6D88013-EA72-A846-8C7F-08FC9F4A9EC4}" type="sibTrans" cxnId="{29BDA552-B28C-A147-BCC9-9C865B5853E1}">
      <dgm:prSet/>
      <dgm:spPr/>
      <dgm:t>
        <a:bodyPr/>
        <a:lstStyle/>
        <a:p>
          <a:endParaRPr lang="en-US"/>
        </a:p>
      </dgm:t>
    </dgm:pt>
    <dgm:pt modelId="{DAEBBA18-7DB9-6A4A-B1A3-DD3ED3B0775C}" type="asst">
      <dgm:prSet phldrT="[Text]"/>
      <dgm:spPr>
        <a:xfrm>
          <a:off x="3177819" y="634586"/>
          <a:ext cx="1306044" cy="65302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Ban điều phối Dự án </a:t>
          </a:r>
        </a:p>
      </dgm:t>
    </dgm:pt>
    <dgm:pt modelId="{62DDB500-4352-4F4E-8D88-8DE4B050D831}" type="parTrans" cxnId="{1CBD7C80-52A0-3F4E-8EA0-DF9B174C7A76}">
      <dgm:prSet/>
      <dgm:spPr>
        <a:xfrm>
          <a:off x="2238734" y="760684"/>
          <a:ext cx="939085" cy="200412"/>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0A987F10-7056-7544-B49A-2E7B9E6E9D2A}" type="sibTrans" cxnId="{1CBD7C80-52A0-3F4E-8EA0-DF9B174C7A76}">
      <dgm:prSet/>
      <dgm:spPr/>
      <dgm:t>
        <a:bodyPr/>
        <a:lstStyle/>
        <a:p>
          <a:endParaRPr lang="en-US"/>
        </a:p>
      </dgm:t>
    </dgm:pt>
    <dgm:pt modelId="{853DA822-D72B-6242-B79A-D9B54B306FA0}">
      <dgm:prSet/>
      <dgm:spPr>
        <a:xfrm>
          <a:off x="66515" y="152401"/>
          <a:ext cx="1178065" cy="65302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Bộ Ngoại giao và Thương mại Ôxtrâylia (DFAT)</a:t>
          </a:r>
        </a:p>
      </dgm:t>
    </dgm:pt>
    <dgm:pt modelId="{A800AEA1-4059-C64B-89A8-29655F63A17B}" type="parTrans" cxnId="{A1A72865-749C-5D4D-9E01-E83E9D8F5805}">
      <dgm:prSet/>
      <dgm:spPr/>
      <dgm:t>
        <a:bodyPr/>
        <a:lstStyle/>
        <a:p>
          <a:endParaRPr lang="en-US"/>
        </a:p>
      </dgm:t>
    </dgm:pt>
    <dgm:pt modelId="{9BD41B65-65CD-664C-BD84-10FCE88B5A88}" type="sibTrans" cxnId="{A1A72865-749C-5D4D-9E01-E83E9D8F5805}">
      <dgm:prSet/>
      <dgm:spPr/>
      <dgm:t>
        <a:bodyPr/>
        <a:lstStyle/>
        <a:p>
          <a:endParaRPr lang="en-US"/>
        </a:p>
      </dgm:t>
    </dgm:pt>
    <dgm:pt modelId="{1F5B040A-5EFD-CF43-B5B5-AC9D09EAABD4}">
      <dgm:prSet/>
      <dgm:spPr>
        <a:xfrm>
          <a:off x="0" y="1016238"/>
          <a:ext cx="1319052" cy="70452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a:solidFill>
                <a:sysClr val="window" lastClr="FFFFFF"/>
              </a:solidFill>
              <a:latin typeface="Calibri"/>
              <a:ea typeface="+mn-ea"/>
              <a:cs typeface="+mn-cs"/>
            </a:rPr>
            <a:t>Cố vấn kỹ thuật cấp cao (STA)</a:t>
          </a:r>
        </a:p>
      </dgm:t>
    </dgm:pt>
    <dgm:pt modelId="{A9971AEE-0BD0-AF4D-BCD7-74D127FFCBAC}" type="parTrans" cxnId="{76F95B9F-61BA-B549-A42E-B2F728B7D119}">
      <dgm:prSet>
        <dgm:style>
          <a:lnRef idx="1">
            <a:schemeClr val="accent1"/>
          </a:lnRef>
          <a:fillRef idx="0">
            <a:schemeClr val="accent1"/>
          </a:fillRef>
          <a:effectRef idx="0">
            <a:schemeClr val="accent1"/>
          </a:effectRef>
          <a:fontRef idx="minor">
            <a:schemeClr val="tx1"/>
          </a:fontRef>
        </dgm:style>
      </dgm:prSet>
      <dgm:spPr>
        <a:xfrm>
          <a:off x="609828" y="805423"/>
          <a:ext cx="91440" cy="210815"/>
        </a:xfrm>
        <a:noFill/>
        <a:ln w="9525" cap="flat" cmpd="sng" algn="ctr">
          <a:solidFill>
            <a:srgbClr val="4F81BD">
              <a:shade val="95000"/>
              <a:satMod val="105000"/>
            </a:srgbClr>
          </a:solidFill>
          <a:prstDash val="solid"/>
        </a:ln>
        <a:effectLst/>
      </dgm:spPr>
      <dgm:t>
        <a:bodyPr/>
        <a:lstStyle/>
        <a:p>
          <a:endParaRPr lang="en-US"/>
        </a:p>
      </dgm:t>
    </dgm:pt>
    <dgm:pt modelId="{C093D342-FE50-1C4C-B6E7-142BE2871B9D}" type="sibTrans" cxnId="{76F95B9F-61BA-B549-A42E-B2F728B7D119}">
      <dgm:prSet/>
      <dgm:spPr/>
      <dgm:t>
        <a:bodyPr/>
        <a:lstStyle/>
        <a:p>
          <a:endParaRPr lang="en-US"/>
        </a:p>
      </dgm:t>
    </dgm:pt>
    <dgm:pt modelId="{AF35A14A-3FA0-4842-A149-E7D32517C349}" type="pres">
      <dgm:prSet presAssocID="{AAF98744-93FB-C04B-99E2-2C9FCD4CB372}" presName="hierChild1" presStyleCnt="0">
        <dgm:presLayoutVars>
          <dgm:orgChart val="1"/>
          <dgm:chPref val="1"/>
          <dgm:dir/>
          <dgm:animOne val="branch"/>
          <dgm:animLvl val="lvl"/>
          <dgm:resizeHandles/>
        </dgm:presLayoutVars>
      </dgm:prSet>
      <dgm:spPr/>
      <dgm:t>
        <a:bodyPr/>
        <a:lstStyle/>
        <a:p>
          <a:endParaRPr lang="en-US"/>
        </a:p>
      </dgm:t>
    </dgm:pt>
    <dgm:pt modelId="{4900B532-E69C-A24D-89C0-1D164A8B0ECC}" type="pres">
      <dgm:prSet presAssocID="{1369F77B-FBC5-B94F-9A8A-F072313C2226}" presName="hierRoot1" presStyleCnt="0">
        <dgm:presLayoutVars>
          <dgm:hierBranch val="init"/>
        </dgm:presLayoutVars>
      </dgm:prSet>
      <dgm:spPr/>
      <dgm:t>
        <a:bodyPr/>
        <a:lstStyle/>
        <a:p>
          <a:endParaRPr lang="en-AU"/>
        </a:p>
      </dgm:t>
    </dgm:pt>
    <dgm:pt modelId="{808181D2-388E-A24D-B35C-9593FC890554}" type="pres">
      <dgm:prSet presAssocID="{1369F77B-FBC5-B94F-9A8A-F072313C2226}" presName="rootComposite1" presStyleCnt="0"/>
      <dgm:spPr/>
      <dgm:t>
        <a:bodyPr/>
        <a:lstStyle/>
        <a:p>
          <a:endParaRPr lang="en-AU"/>
        </a:p>
      </dgm:t>
    </dgm:pt>
    <dgm:pt modelId="{B55EB837-284C-7140-B089-887088AED3FE}" type="pres">
      <dgm:prSet presAssocID="{1369F77B-FBC5-B94F-9A8A-F072313C2226}" presName="rootText1" presStyleLbl="node0" presStyleIdx="0" presStyleCnt="2" custLinFactNeighborX="388" custLinFactNeighborY="-1552">
        <dgm:presLayoutVars>
          <dgm:chPref val="3"/>
        </dgm:presLayoutVars>
      </dgm:prSet>
      <dgm:spPr>
        <a:prstGeom prst="rect">
          <a:avLst/>
        </a:prstGeom>
      </dgm:spPr>
      <dgm:t>
        <a:bodyPr/>
        <a:lstStyle/>
        <a:p>
          <a:endParaRPr lang="en-US"/>
        </a:p>
      </dgm:t>
    </dgm:pt>
    <dgm:pt modelId="{C185D22C-FEF4-1C4B-80B4-0F7016912ED9}" type="pres">
      <dgm:prSet presAssocID="{1369F77B-FBC5-B94F-9A8A-F072313C2226}" presName="rootConnector1" presStyleLbl="node1" presStyleIdx="0" presStyleCnt="0"/>
      <dgm:spPr/>
      <dgm:t>
        <a:bodyPr/>
        <a:lstStyle/>
        <a:p>
          <a:endParaRPr lang="en-US"/>
        </a:p>
      </dgm:t>
    </dgm:pt>
    <dgm:pt modelId="{262F3500-3459-9E48-B55D-BD242C4C6C82}" type="pres">
      <dgm:prSet presAssocID="{1369F77B-FBC5-B94F-9A8A-F072313C2226}" presName="hierChild2" presStyleCnt="0"/>
      <dgm:spPr/>
      <dgm:t>
        <a:bodyPr/>
        <a:lstStyle/>
        <a:p>
          <a:endParaRPr lang="en-AU"/>
        </a:p>
      </dgm:t>
    </dgm:pt>
    <dgm:pt modelId="{2374890A-F194-7842-B358-E7D96022C750}" type="pres">
      <dgm:prSet presAssocID="{75DF73BE-1058-1D44-BAD2-95EC32F18DE5}" presName="Name37" presStyleLbl="parChTrans1D2" presStyleIdx="0" presStyleCnt="6"/>
      <dgm:spPr>
        <a:custGeom>
          <a:avLst/>
          <a:gdLst/>
          <a:ahLst/>
          <a:cxnLst/>
          <a:rect l="0" t="0" r="0" b="0"/>
          <a:pathLst>
            <a:path>
              <a:moveTo>
                <a:pt x="1585381" y="0"/>
              </a:moveTo>
              <a:lnTo>
                <a:pt x="1585381" y="1074561"/>
              </a:lnTo>
              <a:lnTo>
                <a:pt x="0" y="1074561"/>
              </a:lnTo>
              <a:lnTo>
                <a:pt x="0" y="1211695"/>
              </a:lnTo>
            </a:path>
          </a:pathLst>
        </a:custGeom>
      </dgm:spPr>
      <dgm:t>
        <a:bodyPr/>
        <a:lstStyle/>
        <a:p>
          <a:endParaRPr lang="en-US"/>
        </a:p>
      </dgm:t>
    </dgm:pt>
    <dgm:pt modelId="{09277BDF-6D97-054E-B736-F2B18F7760E0}" type="pres">
      <dgm:prSet presAssocID="{C4B89507-01D7-2E48-9413-AF9E6E50F88A}" presName="hierRoot2" presStyleCnt="0">
        <dgm:presLayoutVars>
          <dgm:hierBranch val="init"/>
        </dgm:presLayoutVars>
      </dgm:prSet>
      <dgm:spPr/>
      <dgm:t>
        <a:bodyPr/>
        <a:lstStyle/>
        <a:p>
          <a:endParaRPr lang="en-AU"/>
        </a:p>
      </dgm:t>
    </dgm:pt>
    <dgm:pt modelId="{92E85EAF-ABD5-AE43-B539-B8AA0D2F0DD4}" type="pres">
      <dgm:prSet presAssocID="{C4B89507-01D7-2E48-9413-AF9E6E50F88A}" presName="rootComposite" presStyleCnt="0"/>
      <dgm:spPr/>
      <dgm:t>
        <a:bodyPr/>
        <a:lstStyle/>
        <a:p>
          <a:endParaRPr lang="en-AU"/>
        </a:p>
      </dgm:t>
    </dgm:pt>
    <dgm:pt modelId="{68ADB510-5D1E-FE42-B8BF-DA2FE3E2CF9D}" type="pres">
      <dgm:prSet presAssocID="{C4B89507-01D7-2E48-9413-AF9E6E50F88A}" presName="rootText" presStyleLbl="node2" presStyleIdx="0" presStyleCnt="4">
        <dgm:presLayoutVars>
          <dgm:chPref val="3"/>
        </dgm:presLayoutVars>
      </dgm:prSet>
      <dgm:spPr>
        <a:prstGeom prst="rect">
          <a:avLst/>
        </a:prstGeom>
      </dgm:spPr>
      <dgm:t>
        <a:bodyPr/>
        <a:lstStyle/>
        <a:p>
          <a:endParaRPr lang="en-US"/>
        </a:p>
      </dgm:t>
    </dgm:pt>
    <dgm:pt modelId="{0403647C-14D4-234C-B1E8-D18DB4678FD0}" type="pres">
      <dgm:prSet presAssocID="{C4B89507-01D7-2E48-9413-AF9E6E50F88A}" presName="rootConnector" presStyleLbl="node2" presStyleIdx="0" presStyleCnt="4"/>
      <dgm:spPr/>
      <dgm:t>
        <a:bodyPr/>
        <a:lstStyle/>
        <a:p>
          <a:endParaRPr lang="en-US"/>
        </a:p>
      </dgm:t>
    </dgm:pt>
    <dgm:pt modelId="{104E7B9D-DA10-2D4F-84EE-015743248782}" type="pres">
      <dgm:prSet presAssocID="{C4B89507-01D7-2E48-9413-AF9E6E50F88A}" presName="hierChild4" presStyleCnt="0"/>
      <dgm:spPr/>
      <dgm:t>
        <a:bodyPr/>
        <a:lstStyle/>
        <a:p>
          <a:endParaRPr lang="en-AU"/>
        </a:p>
      </dgm:t>
    </dgm:pt>
    <dgm:pt modelId="{A1ACB25C-5935-A14D-8B92-3CAFAA5E20B9}" type="pres">
      <dgm:prSet presAssocID="{C4B89507-01D7-2E48-9413-AF9E6E50F88A}" presName="hierChild5" presStyleCnt="0"/>
      <dgm:spPr/>
      <dgm:t>
        <a:bodyPr/>
        <a:lstStyle/>
        <a:p>
          <a:endParaRPr lang="en-AU"/>
        </a:p>
      </dgm:t>
    </dgm:pt>
    <dgm:pt modelId="{EB08FB21-5BB6-A241-9A03-FA4ABF528A14}" type="pres">
      <dgm:prSet presAssocID="{25288148-CEB0-4B4D-947D-85E543CE2D4A}" presName="Name37" presStyleLbl="parChTrans1D2" presStyleIdx="1" presStyleCnt="6"/>
      <dgm:spPr>
        <a:custGeom>
          <a:avLst/>
          <a:gdLst/>
          <a:ahLst/>
          <a:cxnLst/>
          <a:rect l="0" t="0" r="0" b="0"/>
          <a:pathLst>
            <a:path>
              <a:moveTo>
                <a:pt x="50787" y="0"/>
              </a:moveTo>
              <a:lnTo>
                <a:pt x="50787" y="1074561"/>
              </a:lnTo>
              <a:lnTo>
                <a:pt x="45720" y="1074561"/>
              </a:lnTo>
              <a:lnTo>
                <a:pt x="45720" y="1211695"/>
              </a:lnTo>
            </a:path>
          </a:pathLst>
        </a:custGeom>
      </dgm:spPr>
      <dgm:t>
        <a:bodyPr/>
        <a:lstStyle/>
        <a:p>
          <a:endParaRPr lang="en-US"/>
        </a:p>
      </dgm:t>
    </dgm:pt>
    <dgm:pt modelId="{40460088-0DC4-2548-BBB9-9F1844889240}" type="pres">
      <dgm:prSet presAssocID="{9FAFFE54-16DC-544A-AD9C-7AE82F7AFD18}" presName="hierRoot2" presStyleCnt="0">
        <dgm:presLayoutVars>
          <dgm:hierBranch val="init"/>
        </dgm:presLayoutVars>
      </dgm:prSet>
      <dgm:spPr/>
      <dgm:t>
        <a:bodyPr/>
        <a:lstStyle/>
        <a:p>
          <a:endParaRPr lang="en-AU"/>
        </a:p>
      </dgm:t>
    </dgm:pt>
    <dgm:pt modelId="{E74FABC0-52BF-EA4A-9F16-A65C03C3996B}" type="pres">
      <dgm:prSet presAssocID="{9FAFFE54-16DC-544A-AD9C-7AE82F7AFD18}" presName="rootComposite" presStyleCnt="0"/>
      <dgm:spPr/>
      <dgm:t>
        <a:bodyPr/>
        <a:lstStyle/>
        <a:p>
          <a:endParaRPr lang="en-AU"/>
        </a:p>
      </dgm:t>
    </dgm:pt>
    <dgm:pt modelId="{6EE1C780-F130-594C-B570-4432143402F4}" type="pres">
      <dgm:prSet presAssocID="{9FAFFE54-16DC-544A-AD9C-7AE82F7AFD18}" presName="rootText" presStyleLbl="node2" presStyleIdx="1" presStyleCnt="4">
        <dgm:presLayoutVars>
          <dgm:chPref val="3"/>
        </dgm:presLayoutVars>
      </dgm:prSet>
      <dgm:spPr>
        <a:prstGeom prst="rect">
          <a:avLst/>
        </a:prstGeom>
      </dgm:spPr>
      <dgm:t>
        <a:bodyPr/>
        <a:lstStyle/>
        <a:p>
          <a:endParaRPr lang="en-US"/>
        </a:p>
      </dgm:t>
    </dgm:pt>
    <dgm:pt modelId="{C2CAD529-87DC-6647-B17D-8ADD006E6D90}" type="pres">
      <dgm:prSet presAssocID="{9FAFFE54-16DC-544A-AD9C-7AE82F7AFD18}" presName="rootConnector" presStyleLbl="node2" presStyleIdx="1" presStyleCnt="4"/>
      <dgm:spPr/>
      <dgm:t>
        <a:bodyPr/>
        <a:lstStyle/>
        <a:p>
          <a:endParaRPr lang="en-US"/>
        </a:p>
      </dgm:t>
    </dgm:pt>
    <dgm:pt modelId="{A33762BD-9BEF-1A42-A49D-2795587FE143}" type="pres">
      <dgm:prSet presAssocID="{9FAFFE54-16DC-544A-AD9C-7AE82F7AFD18}" presName="hierChild4" presStyleCnt="0"/>
      <dgm:spPr/>
      <dgm:t>
        <a:bodyPr/>
        <a:lstStyle/>
        <a:p>
          <a:endParaRPr lang="en-AU"/>
        </a:p>
      </dgm:t>
    </dgm:pt>
    <dgm:pt modelId="{801B8142-FC17-F04E-8FD0-C7F0324A9061}" type="pres">
      <dgm:prSet presAssocID="{9FAFFE54-16DC-544A-AD9C-7AE82F7AFD18}" presName="hierChild5" presStyleCnt="0"/>
      <dgm:spPr/>
      <dgm:t>
        <a:bodyPr/>
        <a:lstStyle/>
        <a:p>
          <a:endParaRPr lang="en-AU"/>
        </a:p>
      </dgm:t>
    </dgm:pt>
    <dgm:pt modelId="{65CEA688-EC2D-3646-947F-3E97F0425EAC}" type="pres">
      <dgm:prSet presAssocID="{EB27958B-849E-A64A-82F0-8273A69DFCF4}" presName="Name37" presStyleLbl="parChTrans1D2" presStyleIdx="2" presStyleCnt="6"/>
      <dgm:spPr>
        <a:custGeom>
          <a:avLst/>
          <a:gdLst/>
          <a:ahLst/>
          <a:cxnLst/>
          <a:rect l="0" t="0" r="0" b="0"/>
          <a:pathLst>
            <a:path>
              <a:moveTo>
                <a:pt x="0" y="0"/>
              </a:moveTo>
              <a:lnTo>
                <a:pt x="0" y="1074561"/>
              </a:lnTo>
              <a:lnTo>
                <a:pt x="1575246" y="1074561"/>
              </a:lnTo>
              <a:lnTo>
                <a:pt x="1575246" y="1211695"/>
              </a:lnTo>
            </a:path>
          </a:pathLst>
        </a:custGeom>
      </dgm:spPr>
      <dgm:t>
        <a:bodyPr/>
        <a:lstStyle/>
        <a:p>
          <a:endParaRPr lang="en-US"/>
        </a:p>
      </dgm:t>
    </dgm:pt>
    <dgm:pt modelId="{C59F15F8-0066-F149-9000-99C121E420D7}" type="pres">
      <dgm:prSet presAssocID="{C3064557-A92D-3845-BA0B-D0F949C72574}" presName="hierRoot2" presStyleCnt="0">
        <dgm:presLayoutVars>
          <dgm:hierBranch val="init"/>
        </dgm:presLayoutVars>
      </dgm:prSet>
      <dgm:spPr/>
      <dgm:t>
        <a:bodyPr/>
        <a:lstStyle/>
        <a:p>
          <a:endParaRPr lang="en-AU"/>
        </a:p>
      </dgm:t>
    </dgm:pt>
    <dgm:pt modelId="{102F4DC5-7CDF-5E45-8AE5-02706CE41C54}" type="pres">
      <dgm:prSet presAssocID="{C3064557-A92D-3845-BA0B-D0F949C72574}" presName="rootComposite" presStyleCnt="0"/>
      <dgm:spPr/>
      <dgm:t>
        <a:bodyPr/>
        <a:lstStyle/>
        <a:p>
          <a:endParaRPr lang="en-AU"/>
        </a:p>
      </dgm:t>
    </dgm:pt>
    <dgm:pt modelId="{9EC2C442-09C0-364A-86FB-F60627A986EC}" type="pres">
      <dgm:prSet presAssocID="{C3064557-A92D-3845-BA0B-D0F949C72574}" presName="rootText" presStyleLbl="node2" presStyleIdx="2" presStyleCnt="4">
        <dgm:presLayoutVars>
          <dgm:chPref val="3"/>
        </dgm:presLayoutVars>
      </dgm:prSet>
      <dgm:spPr>
        <a:prstGeom prst="rect">
          <a:avLst/>
        </a:prstGeom>
      </dgm:spPr>
      <dgm:t>
        <a:bodyPr/>
        <a:lstStyle/>
        <a:p>
          <a:endParaRPr lang="en-US"/>
        </a:p>
      </dgm:t>
    </dgm:pt>
    <dgm:pt modelId="{8360987A-FD09-9649-AA5F-994F4462C691}" type="pres">
      <dgm:prSet presAssocID="{C3064557-A92D-3845-BA0B-D0F949C72574}" presName="rootConnector" presStyleLbl="node2" presStyleIdx="2" presStyleCnt="4"/>
      <dgm:spPr/>
      <dgm:t>
        <a:bodyPr/>
        <a:lstStyle/>
        <a:p>
          <a:endParaRPr lang="en-US"/>
        </a:p>
      </dgm:t>
    </dgm:pt>
    <dgm:pt modelId="{8255BD1E-0CAF-7448-9906-1436F847382B}" type="pres">
      <dgm:prSet presAssocID="{C3064557-A92D-3845-BA0B-D0F949C72574}" presName="hierChild4" presStyleCnt="0"/>
      <dgm:spPr/>
      <dgm:t>
        <a:bodyPr/>
        <a:lstStyle/>
        <a:p>
          <a:endParaRPr lang="en-AU"/>
        </a:p>
      </dgm:t>
    </dgm:pt>
    <dgm:pt modelId="{1F000621-1346-2147-B7E0-584D2A11768D}" type="pres">
      <dgm:prSet presAssocID="{C3064557-A92D-3845-BA0B-D0F949C72574}" presName="hierChild5" presStyleCnt="0"/>
      <dgm:spPr/>
      <dgm:t>
        <a:bodyPr/>
        <a:lstStyle/>
        <a:p>
          <a:endParaRPr lang="en-AU"/>
        </a:p>
      </dgm:t>
    </dgm:pt>
    <dgm:pt modelId="{F3F13F68-DF88-3842-BBB6-538B68EDBEFC}" type="pres">
      <dgm:prSet presAssocID="{1369F77B-FBC5-B94F-9A8A-F072313C2226}" presName="hierChild3" presStyleCnt="0"/>
      <dgm:spPr/>
      <dgm:t>
        <a:bodyPr/>
        <a:lstStyle/>
        <a:p>
          <a:endParaRPr lang="en-AU"/>
        </a:p>
      </dgm:t>
    </dgm:pt>
    <dgm:pt modelId="{8AE71714-F97C-404C-97B9-CB568F62CFE9}" type="pres">
      <dgm:prSet presAssocID="{4DCA30B9-7815-B645-A1A9-7EFC63E13B2D}" presName="Name111" presStyleLbl="parChTrans1D2" presStyleIdx="3" presStyleCnt="6"/>
      <dgm:spPr>
        <a:custGeom>
          <a:avLst/>
          <a:gdLst/>
          <a:ahLst/>
          <a:cxnLst/>
          <a:rect l="0" t="0" r="0" b="0"/>
          <a:pathLst>
            <a:path>
              <a:moveTo>
                <a:pt x="0" y="0"/>
              </a:moveTo>
              <a:lnTo>
                <a:pt x="633131" y="621050"/>
              </a:lnTo>
            </a:path>
          </a:pathLst>
        </a:custGeom>
      </dgm:spPr>
      <dgm:t>
        <a:bodyPr/>
        <a:lstStyle/>
        <a:p>
          <a:endParaRPr lang="en-US"/>
        </a:p>
      </dgm:t>
    </dgm:pt>
    <dgm:pt modelId="{2730A421-B5E0-8849-9095-D4042F8E8B3C}" type="pres">
      <dgm:prSet presAssocID="{E04A4581-DC31-3E42-AD36-44C7726810B6}" presName="hierRoot3" presStyleCnt="0">
        <dgm:presLayoutVars>
          <dgm:hierBranch val="init"/>
        </dgm:presLayoutVars>
      </dgm:prSet>
      <dgm:spPr/>
      <dgm:t>
        <a:bodyPr/>
        <a:lstStyle/>
        <a:p>
          <a:endParaRPr lang="en-AU"/>
        </a:p>
      </dgm:t>
    </dgm:pt>
    <dgm:pt modelId="{C5AE25AE-B7E8-2C4A-B6EE-6064E3A7FBDB}" type="pres">
      <dgm:prSet presAssocID="{E04A4581-DC31-3E42-AD36-44C7726810B6}" presName="rootComposite3" presStyleCnt="0"/>
      <dgm:spPr/>
      <dgm:t>
        <a:bodyPr/>
        <a:lstStyle/>
        <a:p>
          <a:endParaRPr lang="en-AU"/>
        </a:p>
      </dgm:t>
    </dgm:pt>
    <dgm:pt modelId="{9516E041-C8AA-5841-8F8B-8DA291FDDF91}" type="pres">
      <dgm:prSet presAssocID="{E04A4581-DC31-3E42-AD36-44C7726810B6}" presName="rootText3" presStyleLbl="asst1" presStyleIdx="0" presStyleCnt="2" custLinFactNeighborX="59365" custLinFactNeighborY="1552">
        <dgm:presLayoutVars>
          <dgm:chPref val="3"/>
        </dgm:presLayoutVars>
      </dgm:prSet>
      <dgm:spPr>
        <a:prstGeom prst="rect">
          <a:avLst/>
        </a:prstGeom>
      </dgm:spPr>
      <dgm:t>
        <a:bodyPr/>
        <a:lstStyle/>
        <a:p>
          <a:endParaRPr lang="en-US"/>
        </a:p>
      </dgm:t>
    </dgm:pt>
    <dgm:pt modelId="{AAC99C1D-3D9F-C946-B02D-6FA67DD240F5}" type="pres">
      <dgm:prSet presAssocID="{E04A4581-DC31-3E42-AD36-44C7726810B6}" presName="rootConnector3" presStyleLbl="asst1" presStyleIdx="0" presStyleCnt="2"/>
      <dgm:spPr/>
      <dgm:t>
        <a:bodyPr/>
        <a:lstStyle/>
        <a:p>
          <a:endParaRPr lang="en-US"/>
        </a:p>
      </dgm:t>
    </dgm:pt>
    <dgm:pt modelId="{B39E3993-68F0-F944-A55B-542531AC2767}" type="pres">
      <dgm:prSet presAssocID="{E04A4581-DC31-3E42-AD36-44C7726810B6}" presName="hierChild6" presStyleCnt="0"/>
      <dgm:spPr/>
      <dgm:t>
        <a:bodyPr/>
        <a:lstStyle/>
        <a:p>
          <a:endParaRPr lang="en-AU"/>
        </a:p>
      </dgm:t>
    </dgm:pt>
    <dgm:pt modelId="{90C87CC8-828C-FD4C-A990-B9AED2DF1269}" type="pres">
      <dgm:prSet presAssocID="{E04A4581-DC31-3E42-AD36-44C7726810B6}" presName="hierChild7" presStyleCnt="0"/>
      <dgm:spPr/>
      <dgm:t>
        <a:bodyPr/>
        <a:lstStyle/>
        <a:p>
          <a:endParaRPr lang="en-AU"/>
        </a:p>
      </dgm:t>
    </dgm:pt>
    <dgm:pt modelId="{C66C594A-319F-A049-8EFA-D12A0C711E08}" type="pres">
      <dgm:prSet presAssocID="{62DDB500-4352-4F4E-8D88-8DE4B050D831}" presName="Name111" presStyleLbl="parChTrans1D2" presStyleIdx="4" presStyleCnt="6"/>
      <dgm:spPr>
        <a:custGeom>
          <a:avLst/>
          <a:gdLst/>
          <a:ahLst/>
          <a:cxnLst/>
          <a:rect l="0" t="0" r="0" b="0"/>
          <a:pathLst>
            <a:path>
              <a:moveTo>
                <a:pt x="0" y="0"/>
              </a:moveTo>
              <a:lnTo>
                <a:pt x="0" y="200412"/>
              </a:lnTo>
              <a:lnTo>
                <a:pt x="939085" y="200412"/>
              </a:lnTo>
            </a:path>
          </a:pathLst>
        </a:custGeom>
      </dgm:spPr>
      <dgm:t>
        <a:bodyPr/>
        <a:lstStyle/>
        <a:p>
          <a:endParaRPr lang="en-US"/>
        </a:p>
      </dgm:t>
    </dgm:pt>
    <dgm:pt modelId="{1920E1E1-BCB7-0A45-8731-96805102107A}" type="pres">
      <dgm:prSet presAssocID="{DAEBBA18-7DB9-6A4A-B1A3-DD3ED3B0775C}" presName="hierRoot3" presStyleCnt="0">
        <dgm:presLayoutVars>
          <dgm:hierBranch val="init"/>
        </dgm:presLayoutVars>
      </dgm:prSet>
      <dgm:spPr/>
      <dgm:t>
        <a:bodyPr/>
        <a:lstStyle/>
        <a:p>
          <a:endParaRPr lang="en-AU"/>
        </a:p>
      </dgm:t>
    </dgm:pt>
    <dgm:pt modelId="{BB11E31F-DEA0-6544-9446-124C7F785BDD}" type="pres">
      <dgm:prSet presAssocID="{DAEBBA18-7DB9-6A4A-B1A3-DD3ED3B0775C}" presName="rootComposite3" presStyleCnt="0"/>
      <dgm:spPr/>
      <dgm:t>
        <a:bodyPr/>
        <a:lstStyle/>
        <a:p>
          <a:endParaRPr lang="en-AU"/>
        </a:p>
      </dgm:t>
    </dgm:pt>
    <dgm:pt modelId="{7626CF0E-C6F2-D447-B1DB-368A4FDB63CE}" type="pres">
      <dgm:prSet presAssocID="{DAEBBA18-7DB9-6A4A-B1A3-DD3ED3B0775C}" presName="rootText3" presStyleLbl="asst1" presStyleIdx="1" presStyleCnt="2" custLinFactNeighborX="61791" custLinFactNeighborY="-62862">
        <dgm:presLayoutVars>
          <dgm:chPref val="3"/>
        </dgm:presLayoutVars>
      </dgm:prSet>
      <dgm:spPr>
        <a:prstGeom prst="rect">
          <a:avLst/>
        </a:prstGeom>
      </dgm:spPr>
      <dgm:t>
        <a:bodyPr/>
        <a:lstStyle/>
        <a:p>
          <a:endParaRPr lang="en-US"/>
        </a:p>
      </dgm:t>
    </dgm:pt>
    <dgm:pt modelId="{09EF8CB9-3DB2-FE4A-BD47-B0F2143B0EAB}" type="pres">
      <dgm:prSet presAssocID="{DAEBBA18-7DB9-6A4A-B1A3-DD3ED3B0775C}" presName="rootConnector3" presStyleLbl="asst1" presStyleIdx="1" presStyleCnt="2"/>
      <dgm:spPr/>
      <dgm:t>
        <a:bodyPr/>
        <a:lstStyle/>
        <a:p>
          <a:endParaRPr lang="en-US"/>
        </a:p>
      </dgm:t>
    </dgm:pt>
    <dgm:pt modelId="{E31FBFD3-4152-3E42-A398-0B690FB6A70E}" type="pres">
      <dgm:prSet presAssocID="{DAEBBA18-7DB9-6A4A-B1A3-DD3ED3B0775C}" presName="hierChild6" presStyleCnt="0"/>
      <dgm:spPr/>
      <dgm:t>
        <a:bodyPr/>
        <a:lstStyle/>
        <a:p>
          <a:endParaRPr lang="en-AU"/>
        </a:p>
      </dgm:t>
    </dgm:pt>
    <dgm:pt modelId="{7240BB56-26FF-2541-8553-620C022CDCD0}" type="pres">
      <dgm:prSet presAssocID="{DAEBBA18-7DB9-6A4A-B1A3-DD3ED3B0775C}" presName="hierChild7" presStyleCnt="0"/>
      <dgm:spPr/>
      <dgm:t>
        <a:bodyPr/>
        <a:lstStyle/>
        <a:p>
          <a:endParaRPr lang="en-AU"/>
        </a:p>
      </dgm:t>
    </dgm:pt>
    <dgm:pt modelId="{ADFFF74B-7913-F749-B109-AF98C035E5EF}" type="pres">
      <dgm:prSet presAssocID="{853DA822-D72B-6242-B79A-D9B54B306FA0}" presName="hierRoot1" presStyleCnt="0">
        <dgm:presLayoutVars>
          <dgm:hierBranch val="init"/>
        </dgm:presLayoutVars>
      </dgm:prSet>
      <dgm:spPr/>
      <dgm:t>
        <a:bodyPr/>
        <a:lstStyle/>
        <a:p>
          <a:endParaRPr lang="en-AU"/>
        </a:p>
      </dgm:t>
    </dgm:pt>
    <dgm:pt modelId="{C32F47F8-9B52-C54B-9645-4FFFDF060E02}" type="pres">
      <dgm:prSet presAssocID="{853DA822-D72B-6242-B79A-D9B54B306FA0}" presName="rootComposite1" presStyleCnt="0"/>
      <dgm:spPr/>
      <dgm:t>
        <a:bodyPr/>
        <a:lstStyle/>
        <a:p>
          <a:endParaRPr lang="en-AU"/>
        </a:p>
      </dgm:t>
    </dgm:pt>
    <dgm:pt modelId="{A29A6D74-36D9-AD4A-BD73-4E2F40045C38}" type="pres">
      <dgm:prSet presAssocID="{853DA822-D72B-6242-B79A-D9B54B306FA0}" presName="rootText1" presStyleLbl="node0" presStyleIdx="1" presStyleCnt="2" custScaleX="90201" custLinFactX="-102830" custLinFactNeighborX="-200000" custLinFactNeighborY="5299">
        <dgm:presLayoutVars>
          <dgm:chPref val="3"/>
        </dgm:presLayoutVars>
      </dgm:prSet>
      <dgm:spPr>
        <a:prstGeom prst="rect">
          <a:avLst/>
        </a:prstGeom>
      </dgm:spPr>
      <dgm:t>
        <a:bodyPr/>
        <a:lstStyle/>
        <a:p>
          <a:endParaRPr lang="en-US"/>
        </a:p>
      </dgm:t>
    </dgm:pt>
    <dgm:pt modelId="{199B2B33-5AA7-7B47-9EDF-51DAD805F0B0}" type="pres">
      <dgm:prSet presAssocID="{853DA822-D72B-6242-B79A-D9B54B306FA0}" presName="rootConnector1" presStyleLbl="node1" presStyleIdx="0" presStyleCnt="0"/>
      <dgm:spPr/>
      <dgm:t>
        <a:bodyPr/>
        <a:lstStyle/>
        <a:p>
          <a:endParaRPr lang="en-US"/>
        </a:p>
      </dgm:t>
    </dgm:pt>
    <dgm:pt modelId="{D80F80B3-6DA8-D247-B172-F427B693BF3B}" type="pres">
      <dgm:prSet presAssocID="{853DA822-D72B-6242-B79A-D9B54B306FA0}" presName="hierChild2" presStyleCnt="0"/>
      <dgm:spPr/>
      <dgm:t>
        <a:bodyPr/>
        <a:lstStyle/>
        <a:p>
          <a:endParaRPr lang="en-AU"/>
        </a:p>
      </dgm:t>
    </dgm:pt>
    <dgm:pt modelId="{4EFF129B-7EA3-9442-AA5C-1D99D5D88CCF}" type="pres">
      <dgm:prSet presAssocID="{A9971AEE-0BD0-AF4D-BCD7-74D127FFCBAC}" presName="Name37" presStyleLbl="parChTrans1D2" presStyleIdx="5" presStyleCnt="6"/>
      <dgm:spPr>
        <a:custGeom>
          <a:avLst/>
          <a:gdLst/>
          <a:ahLst/>
          <a:cxnLst/>
          <a:rect l="0" t="0" r="0" b="0"/>
          <a:pathLst>
            <a:path>
              <a:moveTo>
                <a:pt x="45720" y="0"/>
              </a:moveTo>
              <a:lnTo>
                <a:pt x="45720" y="73680"/>
              </a:lnTo>
              <a:lnTo>
                <a:pt x="49698" y="73680"/>
              </a:lnTo>
              <a:lnTo>
                <a:pt x="49698" y="210815"/>
              </a:lnTo>
            </a:path>
          </a:pathLst>
        </a:custGeom>
      </dgm:spPr>
      <dgm:t>
        <a:bodyPr/>
        <a:lstStyle/>
        <a:p>
          <a:endParaRPr lang="en-US"/>
        </a:p>
      </dgm:t>
    </dgm:pt>
    <dgm:pt modelId="{629E2F10-1B7D-4B4A-BDE2-463C38C91B45}" type="pres">
      <dgm:prSet presAssocID="{1F5B040A-5EFD-CF43-B5B5-AC9D09EAABD4}" presName="hierRoot2" presStyleCnt="0">
        <dgm:presLayoutVars>
          <dgm:hierBranch val="init"/>
        </dgm:presLayoutVars>
      </dgm:prSet>
      <dgm:spPr/>
      <dgm:t>
        <a:bodyPr/>
        <a:lstStyle/>
        <a:p>
          <a:endParaRPr lang="en-AU"/>
        </a:p>
      </dgm:t>
    </dgm:pt>
    <dgm:pt modelId="{5DADE847-448C-F943-88C2-BE7CB0C2BA01}" type="pres">
      <dgm:prSet presAssocID="{1F5B040A-5EFD-CF43-B5B5-AC9D09EAABD4}" presName="rootComposite" presStyleCnt="0"/>
      <dgm:spPr/>
      <dgm:t>
        <a:bodyPr/>
        <a:lstStyle/>
        <a:p>
          <a:endParaRPr lang="en-AU"/>
        </a:p>
      </dgm:t>
    </dgm:pt>
    <dgm:pt modelId="{35C02E39-375B-BD4F-9220-91B53195382C}" type="pres">
      <dgm:prSet presAssocID="{1F5B040A-5EFD-CF43-B5B5-AC9D09EAABD4}" presName="rootText" presStyleLbl="node2" presStyleIdx="3" presStyleCnt="4" custScaleX="100996" custScaleY="107887" custLinFactX="-106408" custLinFactNeighborX="-200000" custLinFactNeighborY="-4418">
        <dgm:presLayoutVars>
          <dgm:chPref val="3"/>
        </dgm:presLayoutVars>
      </dgm:prSet>
      <dgm:spPr>
        <a:prstGeom prst="rect">
          <a:avLst/>
        </a:prstGeom>
      </dgm:spPr>
      <dgm:t>
        <a:bodyPr/>
        <a:lstStyle/>
        <a:p>
          <a:endParaRPr lang="en-US"/>
        </a:p>
      </dgm:t>
    </dgm:pt>
    <dgm:pt modelId="{A3F31C74-0B99-0D4F-B756-C26CFB8E9169}" type="pres">
      <dgm:prSet presAssocID="{1F5B040A-5EFD-CF43-B5B5-AC9D09EAABD4}" presName="rootConnector" presStyleLbl="node2" presStyleIdx="3" presStyleCnt="4"/>
      <dgm:spPr/>
      <dgm:t>
        <a:bodyPr/>
        <a:lstStyle/>
        <a:p>
          <a:endParaRPr lang="en-US"/>
        </a:p>
      </dgm:t>
    </dgm:pt>
    <dgm:pt modelId="{5AE5B74F-F2E2-B440-B08E-3CFE311CA25F}" type="pres">
      <dgm:prSet presAssocID="{1F5B040A-5EFD-CF43-B5B5-AC9D09EAABD4}" presName="hierChild4" presStyleCnt="0"/>
      <dgm:spPr/>
      <dgm:t>
        <a:bodyPr/>
        <a:lstStyle/>
        <a:p>
          <a:endParaRPr lang="en-AU"/>
        </a:p>
      </dgm:t>
    </dgm:pt>
    <dgm:pt modelId="{6165E876-6B1B-A940-B5D7-7499F4EFAC01}" type="pres">
      <dgm:prSet presAssocID="{1F5B040A-5EFD-CF43-B5B5-AC9D09EAABD4}" presName="hierChild5" presStyleCnt="0"/>
      <dgm:spPr/>
      <dgm:t>
        <a:bodyPr/>
        <a:lstStyle/>
        <a:p>
          <a:endParaRPr lang="en-AU"/>
        </a:p>
      </dgm:t>
    </dgm:pt>
    <dgm:pt modelId="{625DE37F-2380-DD4E-8DA5-1A6706E4525C}" type="pres">
      <dgm:prSet presAssocID="{853DA822-D72B-6242-B79A-D9B54B306FA0}" presName="hierChild3" presStyleCnt="0"/>
      <dgm:spPr/>
      <dgm:t>
        <a:bodyPr/>
        <a:lstStyle/>
        <a:p>
          <a:endParaRPr lang="en-AU"/>
        </a:p>
      </dgm:t>
    </dgm:pt>
  </dgm:ptLst>
  <dgm:cxnLst>
    <dgm:cxn modelId="{A1A72865-749C-5D4D-9E01-E83E9D8F5805}" srcId="{AAF98744-93FB-C04B-99E2-2C9FCD4CB372}" destId="{853DA822-D72B-6242-B79A-D9B54B306FA0}" srcOrd="1" destOrd="0" parTransId="{A800AEA1-4059-C64B-89A8-29655F63A17B}" sibTransId="{9BD41B65-65CD-664C-BD84-10FCE88B5A88}"/>
    <dgm:cxn modelId="{E6A32337-8F47-4726-81CD-38A016BCB203}" type="presOf" srcId="{853DA822-D72B-6242-B79A-D9B54B306FA0}" destId="{A29A6D74-36D9-AD4A-BD73-4E2F40045C38}" srcOrd="0" destOrd="0" presId="urn:microsoft.com/office/officeart/2005/8/layout/orgChart1"/>
    <dgm:cxn modelId="{1465E2DB-E47E-464F-8E7B-91E538063257}" type="presOf" srcId="{DAEBBA18-7DB9-6A4A-B1A3-DD3ED3B0775C}" destId="{7626CF0E-C6F2-D447-B1DB-368A4FDB63CE}" srcOrd="0" destOrd="0" presId="urn:microsoft.com/office/officeart/2005/8/layout/orgChart1"/>
    <dgm:cxn modelId="{2022EE68-07C5-EC41-8679-C989948F8B69}" srcId="{AAF98744-93FB-C04B-99E2-2C9FCD4CB372}" destId="{1369F77B-FBC5-B94F-9A8A-F072313C2226}" srcOrd="0" destOrd="0" parTransId="{784F08B8-7A58-F545-967B-3F5C708F284B}" sibTransId="{A3E7E42A-0D03-0544-8A46-E1DB62B7F4E2}"/>
    <dgm:cxn modelId="{A2E5AF33-1CD4-476A-9174-20C5E41315BC}" type="presOf" srcId="{C4B89507-01D7-2E48-9413-AF9E6E50F88A}" destId="{0403647C-14D4-234C-B1E8-D18DB4678FD0}" srcOrd="1" destOrd="0" presId="urn:microsoft.com/office/officeart/2005/8/layout/orgChart1"/>
    <dgm:cxn modelId="{6C1AF7E4-56DD-43A2-A61F-215B46A3B7E3}" type="presOf" srcId="{9FAFFE54-16DC-544A-AD9C-7AE82F7AFD18}" destId="{C2CAD529-87DC-6647-B17D-8ADD006E6D90}" srcOrd="1" destOrd="0" presId="urn:microsoft.com/office/officeart/2005/8/layout/orgChart1"/>
    <dgm:cxn modelId="{BF69C303-E87B-4B66-AE54-598313C1535F}" type="presOf" srcId="{C3064557-A92D-3845-BA0B-D0F949C72574}" destId="{8360987A-FD09-9649-AA5F-994F4462C691}" srcOrd="1" destOrd="0" presId="urn:microsoft.com/office/officeart/2005/8/layout/orgChart1"/>
    <dgm:cxn modelId="{86E9D1C2-2A65-4E14-9D14-AAE5B84C282E}" type="presOf" srcId="{75DF73BE-1058-1D44-BAD2-95EC32F18DE5}" destId="{2374890A-F194-7842-B358-E7D96022C750}" srcOrd="0" destOrd="0" presId="urn:microsoft.com/office/officeart/2005/8/layout/orgChart1"/>
    <dgm:cxn modelId="{1CBD7C80-52A0-3F4E-8EA0-DF9B174C7A76}" srcId="{1369F77B-FBC5-B94F-9A8A-F072313C2226}" destId="{DAEBBA18-7DB9-6A4A-B1A3-DD3ED3B0775C}" srcOrd="1" destOrd="0" parTransId="{62DDB500-4352-4F4E-8D88-8DE4B050D831}" sibTransId="{0A987F10-7056-7544-B49A-2E7B9E6E9D2A}"/>
    <dgm:cxn modelId="{F9693214-756D-49C3-BAF5-4791CA9CF697}" type="presOf" srcId="{1F5B040A-5EFD-CF43-B5B5-AC9D09EAABD4}" destId="{A3F31C74-0B99-0D4F-B756-C26CFB8E9169}" srcOrd="1" destOrd="0" presId="urn:microsoft.com/office/officeart/2005/8/layout/orgChart1"/>
    <dgm:cxn modelId="{DB7A6731-984F-43F2-A9C4-B82F3BC9B243}" type="presOf" srcId="{DAEBBA18-7DB9-6A4A-B1A3-DD3ED3B0775C}" destId="{09EF8CB9-3DB2-FE4A-BD47-B0F2143B0EAB}" srcOrd="1" destOrd="0" presId="urn:microsoft.com/office/officeart/2005/8/layout/orgChart1"/>
    <dgm:cxn modelId="{29BDA552-B28C-A147-BCC9-9C865B5853E1}" srcId="{1369F77B-FBC5-B94F-9A8A-F072313C2226}" destId="{C3064557-A92D-3845-BA0B-D0F949C72574}" srcOrd="4" destOrd="0" parTransId="{EB27958B-849E-A64A-82F0-8273A69DFCF4}" sibTransId="{E6D88013-EA72-A846-8C7F-08FC9F4A9EC4}"/>
    <dgm:cxn modelId="{25C000BC-4D48-3A49-AB1A-1E866558CC27}" srcId="{1369F77B-FBC5-B94F-9A8A-F072313C2226}" destId="{C4B89507-01D7-2E48-9413-AF9E6E50F88A}" srcOrd="2" destOrd="0" parTransId="{75DF73BE-1058-1D44-BAD2-95EC32F18DE5}" sibTransId="{5C6A47E7-CD2D-9146-AB05-3853A0C16E48}"/>
    <dgm:cxn modelId="{10593A4A-CD69-A844-A988-129307086888}" srcId="{1369F77B-FBC5-B94F-9A8A-F072313C2226}" destId="{E04A4581-DC31-3E42-AD36-44C7726810B6}" srcOrd="0" destOrd="0" parTransId="{4DCA30B9-7815-B645-A1A9-7EFC63E13B2D}" sibTransId="{21D50A70-5C87-6E4B-8D3F-AFF937A0C491}"/>
    <dgm:cxn modelId="{488392C2-E987-461D-8E34-AD0CC6D414B1}" type="presOf" srcId="{62DDB500-4352-4F4E-8D88-8DE4B050D831}" destId="{C66C594A-319F-A049-8EFA-D12A0C711E08}" srcOrd="0" destOrd="0" presId="urn:microsoft.com/office/officeart/2005/8/layout/orgChart1"/>
    <dgm:cxn modelId="{3074EAA5-16EF-45A4-A954-965678E93CFA}" type="presOf" srcId="{9FAFFE54-16DC-544A-AD9C-7AE82F7AFD18}" destId="{6EE1C780-F130-594C-B570-4432143402F4}" srcOrd="0" destOrd="0" presId="urn:microsoft.com/office/officeart/2005/8/layout/orgChart1"/>
    <dgm:cxn modelId="{69E8FA9B-1499-41AF-BB6D-83A11BEC025B}" type="presOf" srcId="{C3064557-A92D-3845-BA0B-D0F949C72574}" destId="{9EC2C442-09C0-364A-86FB-F60627A986EC}" srcOrd="0" destOrd="0" presId="urn:microsoft.com/office/officeart/2005/8/layout/orgChart1"/>
    <dgm:cxn modelId="{C74108D4-E073-41B8-9593-7D09A7AF09A8}" type="presOf" srcId="{1369F77B-FBC5-B94F-9A8A-F072313C2226}" destId="{C185D22C-FEF4-1C4B-80B4-0F7016912ED9}" srcOrd="1" destOrd="0" presId="urn:microsoft.com/office/officeart/2005/8/layout/orgChart1"/>
    <dgm:cxn modelId="{BA0B00BE-029D-4954-A885-D26AE1881688}" type="presOf" srcId="{853DA822-D72B-6242-B79A-D9B54B306FA0}" destId="{199B2B33-5AA7-7B47-9EDF-51DAD805F0B0}" srcOrd="1" destOrd="0" presId="urn:microsoft.com/office/officeart/2005/8/layout/orgChart1"/>
    <dgm:cxn modelId="{E48E07E2-9DE0-4540-A275-583F03C5C603}" type="presOf" srcId="{C4B89507-01D7-2E48-9413-AF9E6E50F88A}" destId="{68ADB510-5D1E-FE42-B8BF-DA2FE3E2CF9D}" srcOrd="0" destOrd="0" presId="urn:microsoft.com/office/officeart/2005/8/layout/orgChart1"/>
    <dgm:cxn modelId="{A78BE825-D5A8-42BF-B6AD-5E10F7565658}" type="presOf" srcId="{4DCA30B9-7815-B645-A1A9-7EFC63E13B2D}" destId="{8AE71714-F97C-404C-97B9-CB568F62CFE9}" srcOrd="0" destOrd="0" presId="urn:microsoft.com/office/officeart/2005/8/layout/orgChart1"/>
    <dgm:cxn modelId="{D17B4E26-FAA2-4D7A-9C4D-9FB93661FD4A}" type="presOf" srcId="{1F5B040A-5EFD-CF43-B5B5-AC9D09EAABD4}" destId="{35C02E39-375B-BD4F-9220-91B53195382C}" srcOrd="0" destOrd="0" presId="urn:microsoft.com/office/officeart/2005/8/layout/orgChart1"/>
    <dgm:cxn modelId="{76F95B9F-61BA-B549-A42E-B2F728B7D119}" srcId="{853DA822-D72B-6242-B79A-D9B54B306FA0}" destId="{1F5B040A-5EFD-CF43-B5B5-AC9D09EAABD4}" srcOrd="0" destOrd="0" parTransId="{A9971AEE-0BD0-AF4D-BCD7-74D127FFCBAC}" sibTransId="{C093D342-FE50-1C4C-B6E7-142BE2871B9D}"/>
    <dgm:cxn modelId="{E51028E4-99FA-4110-BF1B-BB2D387F4CB1}" type="presOf" srcId="{E04A4581-DC31-3E42-AD36-44C7726810B6}" destId="{9516E041-C8AA-5841-8F8B-8DA291FDDF91}" srcOrd="0" destOrd="0" presId="urn:microsoft.com/office/officeart/2005/8/layout/orgChart1"/>
    <dgm:cxn modelId="{F2BB1012-6DC9-494A-9A1C-C83A607D93FA}" type="presOf" srcId="{A9971AEE-0BD0-AF4D-BCD7-74D127FFCBAC}" destId="{4EFF129B-7EA3-9442-AA5C-1D99D5D88CCF}" srcOrd="0" destOrd="0" presId="urn:microsoft.com/office/officeart/2005/8/layout/orgChart1"/>
    <dgm:cxn modelId="{43AA181C-2FB7-46DD-B913-398666D1C0AD}" type="presOf" srcId="{25288148-CEB0-4B4D-947D-85E543CE2D4A}" destId="{EB08FB21-5BB6-A241-9A03-FA4ABF528A14}" srcOrd="0" destOrd="0" presId="urn:microsoft.com/office/officeart/2005/8/layout/orgChart1"/>
    <dgm:cxn modelId="{920B3547-94C5-4A8E-B845-8D5FAD62A75C}" type="presOf" srcId="{AAF98744-93FB-C04B-99E2-2C9FCD4CB372}" destId="{AF35A14A-3FA0-4842-A149-E7D32517C349}" srcOrd="0" destOrd="0" presId="urn:microsoft.com/office/officeart/2005/8/layout/orgChart1"/>
    <dgm:cxn modelId="{C87E2E2B-CBD2-44AA-9794-76EC78280E4C}" type="presOf" srcId="{1369F77B-FBC5-B94F-9A8A-F072313C2226}" destId="{B55EB837-284C-7140-B089-887088AED3FE}" srcOrd="0" destOrd="0" presId="urn:microsoft.com/office/officeart/2005/8/layout/orgChart1"/>
    <dgm:cxn modelId="{F38D3187-EDFE-48CB-B091-E526B170EC9E}" type="presOf" srcId="{EB27958B-849E-A64A-82F0-8273A69DFCF4}" destId="{65CEA688-EC2D-3646-947F-3E97F0425EAC}" srcOrd="0" destOrd="0" presId="urn:microsoft.com/office/officeart/2005/8/layout/orgChart1"/>
    <dgm:cxn modelId="{55DAA374-0AE3-4DE6-A391-A50E22974EE6}" type="presOf" srcId="{E04A4581-DC31-3E42-AD36-44C7726810B6}" destId="{AAC99C1D-3D9F-C946-B02D-6FA67DD240F5}" srcOrd="1" destOrd="0" presId="urn:microsoft.com/office/officeart/2005/8/layout/orgChart1"/>
    <dgm:cxn modelId="{41BB37BE-8FAA-9947-964A-4FA0A9041815}" srcId="{1369F77B-FBC5-B94F-9A8A-F072313C2226}" destId="{9FAFFE54-16DC-544A-AD9C-7AE82F7AFD18}" srcOrd="3" destOrd="0" parTransId="{25288148-CEB0-4B4D-947D-85E543CE2D4A}" sibTransId="{6DA9F97A-4D98-3940-9EDD-10BED86AD27B}"/>
    <dgm:cxn modelId="{3936EC4E-B3B7-4679-9196-766D9D58E683}" type="presParOf" srcId="{AF35A14A-3FA0-4842-A149-E7D32517C349}" destId="{4900B532-E69C-A24D-89C0-1D164A8B0ECC}" srcOrd="0" destOrd="0" presId="urn:microsoft.com/office/officeart/2005/8/layout/orgChart1"/>
    <dgm:cxn modelId="{C9C5C044-2234-4A99-9CE3-7ECF328819D9}" type="presParOf" srcId="{4900B532-E69C-A24D-89C0-1D164A8B0ECC}" destId="{808181D2-388E-A24D-B35C-9593FC890554}" srcOrd="0" destOrd="0" presId="urn:microsoft.com/office/officeart/2005/8/layout/orgChart1"/>
    <dgm:cxn modelId="{8898A88B-78DF-437C-A506-ADC2A090BC7D}" type="presParOf" srcId="{808181D2-388E-A24D-B35C-9593FC890554}" destId="{B55EB837-284C-7140-B089-887088AED3FE}" srcOrd="0" destOrd="0" presId="urn:microsoft.com/office/officeart/2005/8/layout/orgChart1"/>
    <dgm:cxn modelId="{32177F78-6176-4CC9-9D0C-23B7AF9C2BB0}" type="presParOf" srcId="{808181D2-388E-A24D-B35C-9593FC890554}" destId="{C185D22C-FEF4-1C4B-80B4-0F7016912ED9}" srcOrd="1" destOrd="0" presId="urn:microsoft.com/office/officeart/2005/8/layout/orgChart1"/>
    <dgm:cxn modelId="{188A780E-85EC-4260-AD40-62AE2F8962F4}" type="presParOf" srcId="{4900B532-E69C-A24D-89C0-1D164A8B0ECC}" destId="{262F3500-3459-9E48-B55D-BD242C4C6C82}" srcOrd="1" destOrd="0" presId="urn:microsoft.com/office/officeart/2005/8/layout/orgChart1"/>
    <dgm:cxn modelId="{EDEB0864-4E9F-4319-B3D9-C50C57BCC900}" type="presParOf" srcId="{262F3500-3459-9E48-B55D-BD242C4C6C82}" destId="{2374890A-F194-7842-B358-E7D96022C750}" srcOrd="0" destOrd="0" presId="urn:microsoft.com/office/officeart/2005/8/layout/orgChart1"/>
    <dgm:cxn modelId="{F503A00D-7C02-49FF-A039-5A316DCA671A}" type="presParOf" srcId="{262F3500-3459-9E48-B55D-BD242C4C6C82}" destId="{09277BDF-6D97-054E-B736-F2B18F7760E0}" srcOrd="1" destOrd="0" presId="urn:microsoft.com/office/officeart/2005/8/layout/orgChart1"/>
    <dgm:cxn modelId="{673CA1F9-6AD2-4D8D-B13F-B5E0891E71D6}" type="presParOf" srcId="{09277BDF-6D97-054E-B736-F2B18F7760E0}" destId="{92E85EAF-ABD5-AE43-B539-B8AA0D2F0DD4}" srcOrd="0" destOrd="0" presId="urn:microsoft.com/office/officeart/2005/8/layout/orgChart1"/>
    <dgm:cxn modelId="{4E189343-27EA-46CD-9A94-164D3BEB454B}" type="presParOf" srcId="{92E85EAF-ABD5-AE43-B539-B8AA0D2F0DD4}" destId="{68ADB510-5D1E-FE42-B8BF-DA2FE3E2CF9D}" srcOrd="0" destOrd="0" presId="urn:microsoft.com/office/officeart/2005/8/layout/orgChart1"/>
    <dgm:cxn modelId="{EAF8C018-BA9E-4ACC-8B10-45589A25A3C0}" type="presParOf" srcId="{92E85EAF-ABD5-AE43-B539-B8AA0D2F0DD4}" destId="{0403647C-14D4-234C-B1E8-D18DB4678FD0}" srcOrd="1" destOrd="0" presId="urn:microsoft.com/office/officeart/2005/8/layout/orgChart1"/>
    <dgm:cxn modelId="{79F6A9C0-C461-4A3D-849C-458BD3256F3F}" type="presParOf" srcId="{09277BDF-6D97-054E-B736-F2B18F7760E0}" destId="{104E7B9D-DA10-2D4F-84EE-015743248782}" srcOrd="1" destOrd="0" presId="urn:microsoft.com/office/officeart/2005/8/layout/orgChart1"/>
    <dgm:cxn modelId="{9D2E525C-E773-4A78-AF94-D9A5C83F568C}" type="presParOf" srcId="{09277BDF-6D97-054E-B736-F2B18F7760E0}" destId="{A1ACB25C-5935-A14D-8B92-3CAFAA5E20B9}" srcOrd="2" destOrd="0" presId="urn:microsoft.com/office/officeart/2005/8/layout/orgChart1"/>
    <dgm:cxn modelId="{86A702D0-146F-466D-9E8D-AE958A9AEC83}" type="presParOf" srcId="{262F3500-3459-9E48-B55D-BD242C4C6C82}" destId="{EB08FB21-5BB6-A241-9A03-FA4ABF528A14}" srcOrd="2" destOrd="0" presId="urn:microsoft.com/office/officeart/2005/8/layout/orgChart1"/>
    <dgm:cxn modelId="{97C11D46-7EAD-4DED-B3B6-8031AB9B3CA8}" type="presParOf" srcId="{262F3500-3459-9E48-B55D-BD242C4C6C82}" destId="{40460088-0DC4-2548-BBB9-9F1844889240}" srcOrd="3" destOrd="0" presId="urn:microsoft.com/office/officeart/2005/8/layout/orgChart1"/>
    <dgm:cxn modelId="{8682B17D-604E-4F8F-AA07-6D695F0206F5}" type="presParOf" srcId="{40460088-0DC4-2548-BBB9-9F1844889240}" destId="{E74FABC0-52BF-EA4A-9F16-A65C03C3996B}" srcOrd="0" destOrd="0" presId="urn:microsoft.com/office/officeart/2005/8/layout/orgChart1"/>
    <dgm:cxn modelId="{FF9ED56B-9D62-40D5-90D3-0EEBA9539F23}" type="presParOf" srcId="{E74FABC0-52BF-EA4A-9F16-A65C03C3996B}" destId="{6EE1C780-F130-594C-B570-4432143402F4}" srcOrd="0" destOrd="0" presId="urn:microsoft.com/office/officeart/2005/8/layout/orgChart1"/>
    <dgm:cxn modelId="{FF097E8E-5BFE-40C9-A379-E8F73CE22DF7}" type="presParOf" srcId="{E74FABC0-52BF-EA4A-9F16-A65C03C3996B}" destId="{C2CAD529-87DC-6647-B17D-8ADD006E6D90}" srcOrd="1" destOrd="0" presId="urn:microsoft.com/office/officeart/2005/8/layout/orgChart1"/>
    <dgm:cxn modelId="{3863E030-AD4D-4897-9124-935BF77160FD}" type="presParOf" srcId="{40460088-0DC4-2548-BBB9-9F1844889240}" destId="{A33762BD-9BEF-1A42-A49D-2795587FE143}" srcOrd="1" destOrd="0" presId="urn:microsoft.com/office/officeart/2005/8/layout/orgChart1"/>
    <dgm:cxn modelId="{0C942944-27A9-4F65-8AB0-8AF0380135AE}" type="presParOf" srcId="{40460088-0DC4-2548-BBB9-9F1844889240}" destId="{801B8142-FC17-F04E-8FD0-C7F0324A9061}" srcOrd="2" destOrd="0" presId="urn:microsoft.com/office/officeart/2005/8/layout/orgChart1"/>
    <dgm:cxn modelId="{450D8DC9-2FC0-4EBD-8A3B-6859CD8C75C0}" type="presParOf" srcId="{262F3500-3459-9E48-B55D-BD242C4C6C82}" destId="{65CEA688-EC2D-3646-947F-3E97F0425EAC}" srcOrd="4" destOrd="0" presId="urn:microsoft.com/office/officeart/2005/8/layout/orgChart1"/>
    <dgm:cxn modelId="{8A39B562-4564-441F-BFE2-CB0BF2F8CEF3}" type="presParOf" srcId="{262F3500-3459-9E48-B55D-BD242C4C6C82}" destId="{C59F15F8-0066-F149-9000-99C121E420D7}" srcOrd="5" destOrd="0" presId="urn:microsoft.com/office/officeart/2005/8/layout/orgChart1"/>
    <dgm:cxn modelId="{AF1D8481-28A9-429F-BC0D-3767162F4BED}" type="presParOf" srcId="{C59F15F8-0066-F149-9000-99C121E420D7}" destId="{102F4DC5-7CDF-5E45-8AE5-02706CE41C54}" srcOrd="0" destOrd="0" presId="urn:microsoft.com/office/officeart/2005/8/layout/orgChart1"/>
    <dgm:cxn modelId="{6234F26D-252F-4D04-9292-51A4DB60BB78}" type="presParOf" srcId="{102F4DC5-7CDF-5E45-8AE5-02706CE41C54}" destId="{9EC2C442-09C0-364A-86FB-F60627A986EC}" srcOrd="0" destOrd="0" presId="urn:microsoft.com/office/officeart/2005/8/layout/orgChart1"/>
    <dgm:cxn modelId="{F485F98A-D1F0-46B0-96ED-95CD1153EC0D}" type="presParOf" srcId="{102F4DC5-7CDF-5E45-8AE5-02706CE41C54}" destId="{8360987A-FD09-9649-AA5F-994F4462C691}" srcOrd="1" destOrd="0" presId="urn:microsoft.com/office/officeart/2005/8/layout/orgChart1"/>
    <dgm:cxn modelId="{3EAB014B-E575-4507-B366-F2E433CD6959}" type="presParOf" srcId="{C59F15F8-0066-F149-9000-99C121E420D7}" destId="{8255BD1E-0CAF-7448-9906-1436F847382B}" srcOrd="1" destOrd="0" presId="urn:microsoft.com/office/officeart/2005/8/layout/orgChart1"/>
    <dgm:cxn modelId="{D40C9B8B-2D06-4A04-A5FF-370B10D548D2}" type="presParOf" srcId="{C59F15F8-0066-F149-9000-99C121E420D7}" destId="{1F000621-1346-2147-B7E0-584D2A11768D}" srcOrd="2" destOrd="0" presId="urn:microsoft.com/office/officeart/2005/8/layout/orgChart1"/>
    <dgm:cxn modelId="{4A2B900F-20CC-4D66-A010-BE5D18547803}" type="presParOf" srcId="{4900B532-E69C-A24D-89C0-1D164A8B0ECC}" destId="{F3F13F68-DF88-3842-BBB6-538B68EDBEFC}" srcOrd="2" destOrd="0" presId="urn:microsoft.com/office/officeart/2005/8/layout/orgChart1"/>
    <dgm:cxn modelId="{1006E804-2918-4FB9-A13A-B5D2F84F8058}" type="presParOf" srcId="{F3F13F68-DF88-3842-BBB6-538B68EDBEFC}" destId="{8AE71714-F97C-404C-97B9-CB568F62CFE9}" srcOrd="0" destOrd="0" presId="urn:microsoft.com/office/officeart/2005/8/layout/orgChart1"/>
    <dgm:cxn modelId="{4230065A-14E2-4BE8-B280-89ABE7821EF4}" type="presParOf" srcId="{F3F13F68-DF88-3842-BBB6-538B68EDBEFC}" destId="{2730A421-B5E0-8849-9095-D4042F8E8B3C}" srcOrd="1" destOrd="0" presId="urn:microsoft.com/office/officeart/2005/8/layout/orgChart1"/>
    <dgm:cxn modelId="{42E2CF06-CE31-4400-8895-3BC675B42801}" type="presParOf" srcId="{2730A421-B5E0-8849-9095-D4042F8E8B3C}" destId="{C5AE25AE-B7E8-2C4A-B6EE-6064E3A7FBDB}" srcOrd="0" destOrd="0" presId="urn:microsoft.com/office/officeart/2005/8/layout/orgChart1"/>
    <dgm:cxn modelId="{36E29F21-DDDC-418E-982D-9EBBB8F1F9B8}" type="presParOf" srcId="{C5AE25AE-B7E8-2C4A-B6EE-6064E3A7FBDB}" destId="{9516E041-C8AA-5841-8F8B-8DA291FDDF91}" srcOrd="0" destOrd="0" presId="urn:microsoft.com/office/officeart/2005/8/layout/orgChart1"/>
    <dgm:cxn modelId="{79B1BD6E-9A5D-4283-9974-52ACBC039CAD}" type="presParOf" srcId="{C5AE25AE-B7E8-2C4A-B6EE-6064E3A7FBDB}" destId="{AAC99C1D-3D9F-C946-B02D-6FA67DD240F5}" srcOrd="1" destOrd="0" presId="urn:microsoft.com/office/officeart/2005/8/layout/orgChart1"/>
    <dgm:cxn modelId="{686807CF-EEF5-4022-B468-FF208D176084}" type="presParOf" srcId="{2730A421-B5E0-8849-9095-D4042F8E8B3C}" destId="{B39E3993-68F0-F944-A55B-542531AC2767}" srcOrd="1" destOrd="0" presId="urn:microsoft.com/office/officeart/2005/8/layout/orgChart1"/>
    <dgm:cxn modelId="{5056E8E6-3F15-4AA7-B1A6-A93D46520C15}" type="presParOf" srcId="{2730A421-B5E0-8849-9095-D4042F8E8B3C}" destId="{90C87CC8-828C-FD4C-A990-B9AED2DF1269}" srcOrd="2" destOrd="0" presId="urn:microsoft.com/office/officeart/2005/8/layout/orgChart1"/>
    <dgm:cxn modelId="{5D6C2E99-65F9-4888-BA53-344E9D9C0ADA}" type="presParOf" srcId="{F3F13F68-DF88-3842-BBB6-538B68EDBEFC}" destId="{C66C594A-319F-A049-8EFA-D12A0C711E08}" srcOrd="2" destOrd="0" presId="urn:microsoft.com/office/officeart/2005/8/layout/orgChart1"/>
    <dgm:cxn modelId="{A7A6BA58-2320-4606-9083-E7DEA9038210}" type="presParOf" srcId="{F3F13F68-DF88-3842-BBB6-538B68EDBEFC}" destId="{1920E1E1-BCB7-0A45-8731-96805102107A}" srcOrd="3" destOrd="0" presId="urn:microsoft.com/office/officeart/2005/8/layout/orgChart1"/>
    <dgm:cxn modelId="{73B3F5F9-FF6C-44E8-8CC1-89A395B3DBC3}" type="presParOf" srcId="{1920E1E1-BCB7-0A45-8731-96805102107A}" destId="{BB11E31F-DEA0-6544-9446-124C7F785BDD}" srcOrd="0" destOrd="0" presId="urn:microsoft.com/office/officeart/2005/8/layout/orgChart1"/>
    <dgm:cxn modelId="{6AE6D855-413B-4A17-8960-B1B2928AD127}" type="presParOf" srcId="{BB11E31F-DEA0-6544-9446-124C7F785BDD}" destId="{7626CF0E-C6F2-D447-B1DB-368A4FDB63CE}" srcOrd="0" destOrd="0" presId="urn:microsoft.com/office/officeart/2005/8/layout/orgChart1"/>
    <dgm:cxn modelId="{499B8261-C305-467C-B87F-579A58424B9C}" type="presParOf" srcId="{BB11E31F-DEA0-6544-9446-124C7F785BDD}" destId="{09EF8CB9-3DB2-FE4A-BD47-B0F2143B0EAB}" srcOrd="1" destOrd="0" presId="urn:microsoft.com/office/officeart/2005/8/layout/orgChart1"/>
    <dgm:cxn modelId="{E024152B-08FB-44CB-969D-7E4142513766}" type="presParOf" srcId="{1920E1E1-BCB7-0A45-8731-96805102107A}" destId="{E31FBFD3-4152-3E42-A398-0B690FB6A70E}" srcOrd="1" destOrd="0" presId="urn:microsoft.com/office/officeart/2005/8/layout/orgChart1"/>
    <dgm:cxn modelId="{716B55BE-8B1C-4475-8436-42C3DA63360B}" type="presParOf" srcId="{1920E1E1-BCB7-0A45-8731-96805102107A}" destId="{7240BB56-26FF-2541-8553-620C022CDCD0}" srcOrd="2" destOrd="0" presId="urn:microsoft.com/office/officeart/2005/8/layout/orgChart1"/>
    <dgm:cxn modelId="{4C23139E-A87E-4C3E-8B3A-2A88CDA5A2D4}" type="presParOf" srcId="{AF35A14A-3FA0-4842-A149-E7D32517C349}" destId="{ADFFF74B-7913-F749-B109-AF98C035E5EF}" srcOrd="1" destOrd="0" presId="urn:microsoft.com/office/officeart/2005/8/layout/orgChart1"/>
    <dgm:cxn modelId="{9625B138-FDA7-429A-94CB-6FFB00124957}" type="presParOf" srcId="{ADFFF74B-7913-F749-B109-AF98C035E5EF}" destId="{C32F47F8-9B52-C54B-9645-4FFFDF060E02}" srcOrd="0" destOrd="0" presId="urn:microsoft.com/office/officeart/2005/8/layout/orgChart1"/>
    <dgm:cxn modelId="{D416D684-4D19-4526-ACB4-0CC2D566495B}" type="presParOf" srcId="{C32F47F8-9B52-C54B-9645-4FFFDF060E02}" destId="{A29A6D74-36D9-AD4A-BD73-4E2F40045C38}" srcOrd="0" destOrd="0" presId="urn:microsoft.com/office/officeart/2005/8/layout/orgChart1"/>
    <dgm:cxn modelId="{FFFED307-876C-4D29-B90C-5271631CC2AE}" type="presParOf" srcId="{C32F47F8-9B52-C54B-9645-4FFFDF060E02}" destId="{199B2B33-5AA7-7B47-9EDF-51DAD805F0B0}" srcOrd="1" destOrd="0" presId="urn:microsoft.com/office/officeart/2005/8/layout/orgChart1"/>
    <dgm:cxn modelId="{7FD1F129-87F9-4E6D-8772-BE64D3DEF227}" type="presParOf" srcId="{ADFFF74B-7913-F749-B109-AF98C035E5EF}" destId="{D80F80B3-6DA8-D247-B172-F427B693BF3B}" srcOrd="1" destOrd="0" presId="urn:microsoft.com/office/officeart/2005/8/layout/orgChart1"/>
    <dgm:cxn modelId="{3E6224A4-F23F-4222-9197-B6F575DEE22D}" type="presParOf" srcId="{D80F80B3-6DA8-D247-B172-F427B693BF3B}" destId="{4EFF129B-7EA3-9442-AA5C-1D99D5D88CCF}" srcOrd="0" destOrd="0" presId="urn:microsoft.com/office/officeart/2005/8/layout/orgChart1"/>
    <dgm:cxn modelId="{7512A605-1FB3-4BBB-A722-80F775438DA2}" type="presParOf" srcId="{D80F80B3-6DA8-D247-B172-F427B693BF3B}" destId="{629E2F10-1B7D-4B4A-BDE2-463C38C91B45}" srcOrd="1" destOrd="0" presId="urn:microsoft.com/office/officeart/2005/8/layout/orgChart1"/>
    <dgm:cxn modelId="{AD7E1EC7-AED6-4688-9039-9FDA80A236DC}" type="presParOf" srcId="{629E2F10-1B7D-4B4A-BDE2-463C38C91B45}" destId="{5DADE847-448C-F943-88C2-BE7CB0C2BA01}" srcOrd="0" destOrd="0" presId="urn:microsoft.com/office/officeart/2005/8/layout/orgChart1"/>
    <dgm:cxn modelId="{A6DCB14D-9B77-4FEE-BD84-AEC2ABCE1E39}" type="presParOf" srcId="{5DADE847-448C-F943-88C2-BE7CB0C2BA01}" destId="{35C02E39-375B-BD4F-9220-91B53195382C}" srcOrd="0" destOrd="0" presId="urn:microsoft.com/office/officeart/2005/8/layout/orgChart1"/>
    <dgm:cxn modelId="{315FBB1D-42CA-4974-A821-494D39922D27}" type="presParOf" srcId="{5DADE847-448C-F943-88C2-BE7CB0C2BA01}" destId="{A3F31C74-0B99-0D4F-B756-C26CFB8E9169}" srcOrd="1" destOrd="0" presId="urn:microsoft.com/office/officeart/2005/8/layout/orgChart1"/>
    <dgm:cxn modelId="{7E5A603A-3066-43CD-9CAA-E53921CAF9EB}" type="presParOf" srcId="{629E2F10-1B7D-4B4A-BDE2-463C38C91B45}" destId="{5AE5B74F-F2E2-B440-B08E-3CFE311CA25F}" srcOrd="1" destOrd="0" presId="urn:microsoft.com/office/officeart/2005/8/layout/orgChart1"/>
    <dgm:cxn modelId="{C878208B-2E25-4378-A312-4E988D9792CA}" type="presParOf" srcId="{629E2F10-1B7D-4B4A-BDE2-463C38C91B45}" destId="{6165E876-6B1B-A940-B5D7-7499F4EFAC01}" srcOrd="2" destOrd="0" presId="urn:microsoft.com/office/officeart/2005/8/layout/orgChart1"/>
    <dgm:cxn modelId="{715FDF5B-4CC8-4ED0-AC82-BFE63F2B3D05}" type="presParOf" srcId="{ADFFF74B-7913-F749-B109-AF98C035E5EF}" destId="{625DE37F-2380-DD4E-8DA5-1A6706E4525C}"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FF129B-7EA3-9442-AA5C-1D99D5D88CCF}">
      <dsp:nvSpPr>
        <dsp:cNvPr id="0" name=""/>
        <dsp:cNvSpPr/>
      </dsp:nvSpPr>
      <dsp:spPr>
        <a:xfrm>
          <a:off x="609828" y="805423"/>
          <a:ext cx="91440" cy="210815"/>
        </a:xfrm>
        <a:custGeom>
          <a:avLst/>
          <a:gdLst/>
          <a:ahLst/>
          <a:cxnLst/>
          <a:rect l="0" t="0" r="0" b="0"/>
          <a:pathLst>
            <a:path>
              <a:moveTo>
                <a:pt x="45720" y="0"/>
              </a:moveTo>
              <a:lnTo>
                <a:pt x="45720" y="73680"/>
              </a:lnTo>
              <a:lnTo>
                <a:pt x="49698" y="73680"/>
              </a:lnTo>
              <a:lnTo>
                <a:pt x="49698" y="210815"/>
              </a:lnTo>
            </a:path>
          </a:pathLst>
        </a:custGeom>
        <a:noFill/>
        <a:ln w="9525" cap="flat" cmpd="sng" algn="ctr">
          <a:solidFill>
            <a:srgbClr val="4F81BD">
              <a:shade val="95000"/>
              <a:satMod val="105000"/>
            </a:srgbClr>
          </a:solidFill>
          <a:prstDash val="solid"/>
        </a:ln>
        <a:effectLst/>
      </dsp:spPr>
      <dsp:style>
        <a:lnRef idx="1">
          <a:schemeClr val="accent1"/>
        </a:lnRef>
        <a:fillRef idx="0">
          <a:schemeClr val="accent1"/>
        </a:fillRef>
        <a:effectRef idx="0">
          <a:schemeClr val="accent1"/>
        </a:effectRef>
        <a:fontRef idx="minor">
          <a:schemeClr val="tx1"/>
        </a:fontRef>
      </dsp:style>
    </dsp:sp>
    <dsp:sp modelId="{C66C594A-319F-A049-8EFA-D12A0C711E08}">
      <dsp:nvSpPr>
        <dsp:cNvPr id="0" name=""/>
        <dsp:cNvSpPr/>
      </dsp:nvSpPr>
      <dsp:spPr>
        <a:xfrm>
          <a:off x="2238734" y="760684"/>
          <a:ext cx="939085" cy="200412"/>
        </a:xfrm>
        <a:custGeom>
          <a:avLst/>
          <a:gdLst/>
          <a:ahLst/>
          <a:cxnLst/>
          <a:rect l="0" t="0" r="0" b="0"/>
          <a:pathLst>
            <a:path>
              <a:moveTo>
                <a:pt x="0" y="0"/>
              </a:moveTo>
              <a:lnTo>
                <a:pt x="0" y="200412"/>
              </a:lnTo>
              <a:lnTo>
                <a:pt x="939085" y="200412"/>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8AE71714-F97C-404C-97B9-CB568F62CFE9}">
      <dsp:nvSpPr>
        <dsp:cNvPr id="0" name=""/>
        <dsp:cNvSpPr/>
      </dsp:nvSpPr>
      <dsp:spPr>
        <a:xfrm>
          <a:off x="2238734" y="760684"/>
          <a:ext cx="633131" cy="621050"/>
        </a:xfrm>
        <a:custGeom>
          <a:avLst/>
          <a:gdLst/>
          <a:ahLst/>
          <a:cxnLst/>
          <a:rect l="0" t="0" r="0" b="0"/>
          <a:pathLst>
            <a:path>
              <a:moveTo>
                <a:pt x="0" y="0"/>
              </a:moveTo>
              <a:lnTo>
                <a:pt x="633131" y="621050"/>
              </a:lnTo>
            </a:path>
          </a:pathLst>
        </a:custGeom>
        <a:noFill/>
        <a:ln w="9525" cap="flat" cmpd="sng" algn="ctr">
          <a:solidFill>
            <a:sysClr val="window" lastClr="FFFFFF"/>
          </a:solidFill>
          <a:prstDash val="solid"/>
        </a:ln>
        <a:effectLst/>
      </dsp:spPr>
      <dsp:style>
        <a:lnRef idx="1">
          <a:scrgbClr r="0" g="0" b="0"/>
        </a:lnRef>
        <a:fillRef idx="0">
          <a:scrgbClr r="0" g="0" b="0"/>
        </a:fillRef>
        <a:effectRef idx="0">
          <a:scrgbClr r="0" g="0" b="0"/>
        </a:effectRef>
        <a:fontRef idx="minor"/>
      </dsp:style>
    </dsp:sp>
    <dsp:sp modelId="{65CEA688-EC2D-3646-947F-3E97F0425EAC}">
      <dsp:nvSpPr>
        <dsp:cNvPr id="0" name=""/>
        <dsp:cNvSpPr/>
      </dsp:nvSpPr>
      <dsp:spPr>
        <a:xfrm>
          <a:off x="2238734" y="760684"/>
          <a:ext cx="1575246" cy="1211695"/>
        </a:xfrm>
        <a:custGeom>
          <a:avLst/>
          <a:gdLst/>
          <a:ahLst/>
          <a:cxnLst/>
          <a:rect l="0" t="0" r="0" b="0"/>
          <a:pathLst>
            <a:path>
              <a:moveTo>
                <a:pt x="0" y="0"/>
              </a:moveTo>
              <a:lnTo>
                <a:pt x="0" y="1074561"/>
              </a:lnTo>
              <a:lnTo>
                <a:pt x="1575246" y="1074561"/>
              </a:lnTo>
              <a:lnTo>
                <a:pt x="1575246" y="1211695"/>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EB08FB21-5BB6-A241-9A03-FA4ABF528A14}">
      <dsp:nvSpPr>
        <dsp:cNvPr id="0" name=""/>
        <dsp:cNvSpPr/>
      </dsp:nvSpPr>
      <dsp:spPr>
        <a:xfrm>
          <a:off x="2187947" y="760684"/>
          <a:ext cx="91440" cy="1211695"/>
        </a:xfrm>
        <a:custGeom>
          <a:avLst/>
          <a:gdLst/>
          <a:ahLst/>
          <a:cxnLst/>
          <a:rect l="0" t="0" r="0" b="0"/>
          <a:pathLst>
            <a:path>
              <a:moveTo>
                <a:pt x="50787" y="0"/>
              </a:moveTo>
              <a:lnTo>
                <a:pt x="50787" y="1074561"/>
              </a:lnTo>
              <a:lnTo>
                <a:pt x="45720" y="1074561"/>
              </a:lnTo>
              <a:lnTo>
                <a:pt x="45720" y="1211695"/>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2374890A-F194-7842-B358-E7D96022C750}">
      <dsp:nvSpPr>
        <dsp:cNvPr id="0" name=""/>
        <dsp:cNvSpPr/>
      </dsp:nvSpPr>
      <dsp:spPr>
        <a:xfrm>
          <a:off x="653353" y="760684"/>
          <a:ext cx="1585381" cy="1211695"/>
        </a:xfrm>
        <a:custGeom>
          <a:avLst/>
          <a:gdLst/>
          <a:ahLst/>
          <a:cxnLst/>
          <a:rect l="0" t="0" r="0" b="0"/>
          <a:pathLst>
            <a:path>
              <a:moveTo>
                <a:pt x="1585381" y="0"/>
              </a:moveTo>
              <a:lnTo>
                <a:pt x="1585381" y="1074561"/>
              </a:lnTo>
              <a:lnTo>
                <a:pt x="0" y="1074561"/>
              </a:lnTo>
              <a:lnTo>
                <a:pt x="0" y="1211695"/>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B55EB837-284C-7140-B089-887088AED3FE}">
      <dsp:nvSpPr>
        <dsp:cNvPr id="0" name=""/>
        <dsp:cNvSpPr/>
      </dsp:nvSpPr>
      <dsp:spPr>
        <a:xfrm>
          <a:off x="1585712" y="107662"/>
          <a:ext cx="1306044" cy="65302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Giám đốc Dự án </a:t>
          </a:r>
        </a:p>
      </dsp:txBody>
      <dsp:txXfrm>
        <a:off x="1585712" y="107662"/>
        <a:ext cx="1306044" cy="653022"/>
      </dsp:txXfrm>
    </dsp:sp>
    <dsp:sp modelId="{68ADB510-5D1E-FE42-B8BF-DA2FE3E2CF9D}">
      <dsp:nvSpPr>
        <dsp:cNvPr id="0" name=""/>
        <dsp:cNvSpPr/>
      </dsp:nvSpPr>
      <dsp:spPr>
        <a:xfrm>
          <a:off x="331" y="1972380"/>
          <a:ext cx="1306044" cy="65302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CIEM-MPI: Tăng cường tính minh bạch và năng lực cạnh tranhcủa doanh nghiệp</a:t>
          </a:r>
        </a:p>
      </dsp:txBody>
      <dsp:txXfrm>
        <a:off x="331" y="1972380"/>
        <a:ext cx="1306044" cy="653022"/>
      </dsp:txXfrm>
    </dsp:sp>
    <dsp:sp modelId="{6EE1C780-F130-594C-B570-4432143402F4}">
      <dsp:nvSpPr>
        <dsp:cNvPr id="0" name=""/>
        <dsp:cNvSpPr/>
      </dsp:nvSpPr>
      <dsp:spPr>
        <a:xfrm>
          <a:off x="1580645" y="1972380"/>
          <a:ext cx="1306044" cy="65302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VCA-MOIT:Tái cơ cấu các thể chế cạnh tranh</a:t>
          </a:r>
        </a:p>
      </dsp:txBody>
      <dsp:txXfrm>
        <a:off x="1580645" y="1972380"/>
        <a:ext cx="1306044" cy="653022"/>
      </dsp:txXfrm>
    </dsp:sp>
    <dsp:sp modelId="{9EC2C442-09C0-364A-86FB-F60627A986EC}">
      <dsp:nvSpPr>
        <dsp:cNvPr id="0" name=""/>
        <dsp:cNvSpPr/>
      </dsp:nvSpPr>
      <dsp:spPr>
        <a:xfrm>
          <a:off x="3160958" y="1972380"/>
          <a:ext cx="1306044" cy="65302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IPSARD-MARD: Tái cơ cấu kinh tế nông thôn</a:t>
          </a:r>
        </a:p>
      </dsp:txBody>
      <dsp:txXfrm>
        <a:off x="3160958" y="1972380"/>
        <a:ext cx="1306044" cy="653022"/>
      </dsp:txXfrm>
    </dsp:sp>
    <dsp:sp modelId="{9516E041-C8AA-5841-8F8B-8DA291FDDF91}">
      <dsp:nvSpPr>
        <dsp:cNvPr id="0" name=""/>
        <dsp:cNvSpPr/>
      </dsp:nvSpPr>
      <dsp:spPr>
        <a:xfrm>
          <a:off x="1565821" y="1055223"/>
          <a:ext cx="1306044" cy="65302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Văn phòng điều phối Dự án do SPC-E phụ trách (bao gồm Quỹ linh hoạt và quản lý SAG) </a:t>
          </a:r>
        </a:p>
      </dsp:txBody>
      <dsp:txXfrm>
        <a:off x="1565821" y="1055223"/>
        <a:ext cx="1306044" cy="653022"/>
      </dsp:txXfrm>
    </dsp:sp>
    <dsp:sp modelId="{7626CF0E-C6F2-D447-B1DB-368A4FDB63CE}">
      <dsp:nvSpPr>
        <dsp:cNvPr id="0" name=""/>
        <dsp:cNvSpPr/>
      </dsp:nvSpPr>
      <dsp:spPr>
        <a:xfrm>
          <a:off x="3177819" y="634586"/>
          <a:ext cx="1306044" cy="65302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Ban điều phối Dự án </a:t>
          </a:r>
        </a:p>
      </dsp:txBody>
      <dsp:txXfrm>
        <a:off x="3177819" y="634586"/>
        <a:ext cx="1306044" cy="653022"/>
      </dsp:txXfrm>
    </dsp:sp>
    <dsp:sp modelId="{A29A6D74-36D9-AD4A-BD73-4E2F40045C38}">
      <dsp:nvSpPr>
        <dsp:cNvPr id="0" name=""/>
        <dsp:cNvSpPr/>
      </dsp:nvSpPr>
      <dsp:spPr>
        <a:xfrm>
          <a:off x="66515" y="152401"/>
          <a:ext cx="1178065" cy="65302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Bộ Ngoại giao và Thương mại Ôxtrâylia (DFAT)</a:t>
          </a:r>
        </a:p>
      </dsp:txBody>
      <dsp:txXfrm>
        <a:off x="66515" y="152401"/>
        <a:ext cx="1178065" cy="653022"/>
      </dsp:txXfrm>
    </dsp:sp>
    <dsp:sp modelId="{35C02E39-375B-BD4F-9220-91B53195382C}">
      <dsp:nvSpPr>
        <dsp:cNvPr id="0" name=""/>
        <dsp:cNvSpPr/>
      </dsp:nvSpPr>
      <dsp:spPr>
        <a:xfrm>
          <a:off x="0" y="1016238"/>
          <a:ext cx="1319052" cy="70452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Cố vấn kỹ thuật cấp cao (STA)</a:t>
          </a:r>
        </a:p>
      </dsp:txBody>
      <dsp:txXfrm>
        <a:off x="0" y="1016238"/>
        <a:ext cx="1319052" cy="7045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2014-08-05T05:17:00Z</cp:lastPrinted>
  <dcterms:created xsi:type="dcterms:W3CDTF">2014-08-07T08:39:00Z</dcterms:created>
  <dcterms:modified xsi:type="dcterms:W3CDTF">2014-08-07T08:57:00Z</dcterms:modified>
</cp:coreProperties>
</file>